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E494" w14:textId="77777777" w:rsidR="000A3ADC" w:rsidRDefault="00853592">
      <w:pPr>
        <w:spacing w:after="0"/>
      </w:pPr>
      <w:r>
        <w:rPr>
          <w:rFonts w:ascii="Arial" w:eastAsia="Arial" w:hAnsi="Arial" w:cs="Arial"/>
        </w:rPr>
        <w:t xml:space="preserve"> </w:t>
      </w:r>
    </w:p>
    <w:p w14:paraId="6C5BBA69" w14:textId="77777777" w:rsidR="000A3ADC" w:rsidRDefault="00853592">
      <w:pPr>
        <w:spacing w:after="103"/>
        <w:ind w:left="267" w:right="-251"/>
      </w:pPr>
      <w:r>
        <w:rPr>
          <w:noProof/>
        </w:rPr>
        <mc:AlternateContent>
          <mc:Choice Requires="wpg">
            <w:drawing>
              <wp:inline distT="0" distB="0" distL="0" distR="0" wp14:anchorId="632A9A0D" wp14:editId="7464D689">
                <wp:extent cx="6116955" cy="883285"/>
                <wp:effectExtent l="0" t="0" r="0" b="0"/>
                <wp:docPr id="4284" name="Group 4284"/>
                <wp:cNvGraphicFramePr/>
                <a:graphic xmlns:a="http://schemas.openxmlformats.org/drawingml/2006/main">
                  <a:graphicData uri="http://schemas.microsoft.com/office/word/2010/wordprocessingGroup">
                    <wpg:wgp>
                      <wpg:cNvGrpSpPr/>
                      <wpg:grpSpPr>
                        <a:xfrm>
                          <a:off x="0" y="0"/>
                          <a:ext cx="6116955" cy="883285"/>
                          <a:chOff x="0" y="0"/>
                          <a:chExt cx="6116955" cy="883285"/>
                        </a:xfrm>
                      </wpg:grpSpPr>
                      <pic:pic xmlns:pic="http://schemas.openxmlformats.org/drawingml/2006/picture">
                        <pic:nvPicPr>
                          <pic:cNvPr id="25" name="Picture 25"/>
                          <pic:cNvPicPr/>
                        </pic:nvPicPr>
                        <pic:blipFill>
                          <a:blip r:embed="rId10"/>
                          <a:stretch>
                            <a:fillRect/>
                          </a:stretch>
                        </pic:blipFill>
                        <pic:spPr>
                          <a:xfrm>
                            <a:off x="0" y="0"/>
                            <a:ext cx="1295400" cy="856615"/>
                          </a:xfrm>
                          <a:prstGeom prst="rect">
                            <a:avLst/>
                          </a:prstGeom>
                        </pic:spPr>
                      </pic:pic>
                      <pic:pic xmlns:pic="http://schemas.openxmlformats.org/drawingml/2006/picture">
                        <pic:nvPicPr>
                          <pic:cNvPr id="27" name="Picture 27"/>
                          <pic:cNvPicPr/>
                        </pic:nvPicPr>
                        <pic:blipFill>
                          <a:blip r:embed="rId11"/>
                          <a:stretch>
                            <a:fillRect/>
                          </a:stretch>
                        </pic:blipFill>
                        <pic:spPr>
                          <a:xfrm>
                            <a:off x="4459605" y="732790"/>
                            <a:ext cx="1657350" cy="150495"/>
                          </a:xfrm>
                          <a:prstGeom prst="rect">
                            <a:avLst/>
                          </a:prstGeom>
                        </pic:spPr>
                      </pic:pic>
                    </wpg:wgp>
                  </a:graphicData>
                </a:graphic>
              </wp:inline>
            </w:drawing>
          </mc:Choice>
          <mc:Fallback xmlns:a="http://schemas.openxmlformats.org/drawingml/2006/main">
            <w:pict>
              <v:group id="Group 4284" style="width:481.65pt;height:69.55pt;mso-position-horizontal-relative:char;mso-position-vertical-relative:line" coordsize="61169,8832">
                <v:shape id="Picture 25" style="position:absolute;width:12954;height:8566;left:0;top:0;" filled="f">
                  <v:imagedata r:id="rId12"/>
                </v:shape>
                <v:shape id="Picture 27" style="position:absolute;width:16573;height:1504;left:44596;top:7327;" filled="f">
                  <v:imagedata r:id="rId13"/>
                </v:shape>
              </v:group>
            </w:pict>
          </mc:Fallback>
        </mc:AlternateContent>
      </w:r>
    </w:p>
    <w:p w14:paraId="6D6A9CF6" w14:textId="77777777" w:rsidR="00853592" w:rsidRDefault="00853592">
      <w:pPr>
        <w:spacing w:after="0" w:line="216" w:lineRule="auto"/>
        <w:ind w:left="461"/>
        <w:rPr>
          <w:rFonts w:ascii="Arial" w:eastAsia="Arial" w:hAnsi="Arial" w:cs="Arial"/>
          <w:b/>
          <w:color w:val="002C71"/>
          <w:sz w:val="48"/>
        </w:rPr>
      </w:pPr>
    </w:p>
    <w:p w14:paraId="160B3446" w14:textId="7E285C51" w:rsidR="000A3ADC" w:rsidRDefault="00853592">
      <w:pPr>
        <w:spacing w:after="0" w:line="216" w:lineRule="auto"/>
        <w:ind w:left="461"/>
        <w:rPr>
          <w:rFonts w:ascii="Arial" w:eastAsia="Arial" w:hAnsi="Arial" w:cs="Arial"/>
          <w:b/>
          <w:sz w:val="48"/>
        </w:rPr>
      </w:pPr>
      <w:r>
        <w:rPr>
          <w:rFonts w:ascii="Arial" w:eastAsia="Arial" w:hAnsi="Arial" w:cs="Arial"/>
          <w:b/>
          <w:color w:val="002C71"/>
          <w:sz w:val="48"/>
        </w:rPr>
        <w:t>Marac Information Sharing Protocol Checklist</w:t>
      </w:r>
      <w:r>
        <w:rPr>
          <w:rFonts w:ascii="Arial" w:eastAsia="Arial" w:hAnsi="Arial" w:cs="Arial"/>
          <w:b/>
          <w:sz w:val="48"/>
        </w:rPr>
        <w:t xml:space="preserve"> </w:t>
      </w:r>
    </w:p>
    <w:p w14:paraId="70EE39B2" w14:textId="77777777" w:rsidR="00853592" w:rsidRDefault="00853592">
      <w:pPr>
        <w:spacing w:after="0" w:line="216" w:lineRule="auto"/>
        <w:ind w:left="461"/>
      </w:pPr>
    </w:p>
    <w:p w14:paraId="46E12B16" w14:textId="77777777" w:rsidR="000A3ADC" w:rsidRDefault="00853592">
      <w:pPr>
        <w:shd w:val="clear" w:color="auto" w:fill="EF4E97"/>
        <w:spacing w:after="0" w:line="238" w:lineRule="auto"/>
        <w:ind w:left="744" w:right="236" w:hanging="10"/>
        <w:jc w:val="both"/>
      </w:pPr>
      <w:r>
        <w:rPr>
          <w:rFonts w:ascii="Arial" w:eastAsia="Arial" w:hAnsi="Arial" w:cs="Arial"/>
          <w:color w:val="FFFFFF"/>
          <w:sz w:val="20"/>
        </w:rPr>
        <w:t xml:space="preserve">The following checklist sets out the key contents of a Marac </w:t>
      </w:r>
      <w:r>
        <w:rPr>
          <w:rFonts w:ascii="Arial" w:eastAsia="Arial" w:hAnsi="Arial" w:cs="Arial"/>
          <w:color w:val="FFFFFF"/>
          <w:sz w:val="20"/>
        </w:rPr>
        <w:t>Information Sharing Protocol (ISP); it is designed to act as a guide to help you draw up your own protocol locally and does not constitute legal advice. The headings listed below provide the basic structure for a generic ISP. There may be additional inform</w:t>
      </w:r>
      <w:r>
        <w:rPr>
          <w:rFonts w:ascii="Arial" w:eastAsia="Arial" w:hAnsi="Arial" w:cs="Arial"/>
          <w:color w:val="FFFFFF"/>
          <w:sz w:val="20"/>
        </w:rPr>
        <w:t>ation that you feel is relevant to your area and that you would like to include. You must check your ISP with your own, local legal advisors.</w:t>
      </w:r>
      <w:r>
        <w:rPr>
          <w:rFonts w:ascii="Arial" w:eastAsia="Arial" w:hAnsi="Arial" w:cs="Arial"/>
          <w:sz w:val="20"/>
        </w:rPr>
        <w:t xml:space="preserve"> </w:t>
      </w:r>
    </w:p>
    <w:p w14:paraId="473EB3AC" w14:textId="77777777" w:rsidR="000A3ADC" w:rsidRDefault="00853592">
      <w:pPr>
        <w:shd w:val="clear" w:color="auto" w:fill="EF4E97"/>
        <w:spacing w:after="0"/>
        <w:ind w:left="734" w:right="236"/>
      </w:pPr>
      <w:r>
        <w:rPr>
          <w:rFonts w:ascii="Arial" w:eastAsia="Arial" w:hAnsi="Arial" w:cs="Arial"/>
          <w:b/>
          <w:sz w:val="20"/>
        </w:rPr>
        <w:t xml:space="preserve"> </w:t>
      </w:r>
    </w:p>
    <w:p w14:paraId="4B7FAEAA" w14:textId="77777777" w:rsidR="000A3ADC" w:rsidRDefault="00853592">
      <w:pPr>
        <w:shd w:val="clear" w:color="auto" w:fill="EF4E97"/>
        <w:spacing w:after="317" w:line="238" w:lineRule="auto"/>
        <w:ind w:left="744" w:right="236" w:hanging="10"/>
        <w:jc w:val="both"/>
      </w:pPr>
      <w:r>
        <w:rPr>
          <w:rFonts w:ascii="Arial" w:eastAsia="Arial" w:hAnsi="Arial" w:cs="Arial"/>
          <w:color w:val="FFFFFF"/>
          <w:sz w:val="20"/>
        </w:rPr>
        <w:t xml:space="preserve">Understanding issues around sharing information without consent are crucial when writing an ISP. Some of those </w:t>
      </w:r>
      <w:r>
        <w:rPr>
          <w:rFonts w:ascii="Arial" w:eastAsia="Arial" w:hAnsi="Arial" w:cs="Arial"/>
          <w:color w:val="FFFFFF"/>
          <w:sz w:val="20"/>
        </w:rPr>
        <w:t>issues are addressed in the frequently asked questions on disclosure of information before and during the Marac meeting document, available from SafeLives. You are also advised to contact the Information Commissioner’s Office for guidance on specific issue</w:t>
      </w:r>
      <w:r>
        <w:rPr>
          <w:rFonts w:ascii="Arial" w:eastAsia="Arial" w:hAnsi="Arial" w:cs="Arial"/>
          <w:color w:val="FFFFFF"/>
          <w:sz w:val="20"/>
        </w:rPr>
        <w:t>s relating to information sharing.</w:t>
      </w:r>
      <w:r>
        <w:rPr>
          <w:rFonts w:ascii="Arial" w:eastAsia="Arial" w:hAnsi="Arial" w:cs="Arial"/>
          <w:sz w:val="20"/>
        </w:rPr>
        <w:t xml:space="preserve"> </w:t>
      </w:r>
    </w:p>
    <w:p w14:paraId="7C5CA026" w14:textId="77777777" w:rsidR="000A3ADC" w:rsidRDefault="00853592">
      <w:pPr>
        <w:pStyle w:val="Heading1"/>
        <w:ind w:left="456"/>
      </w:pPr>
      <w:r>
        <w:t>I. Introduction</w:t>
      </w:r>
      <w:r>
        <w:rPr>
          <w:color w:val="000000"/>
        </w:rPr>
        <w:t xml:space="preserve"> </w:t>
      </w:r>
    </w:p>
    <w:p w14:paraId="0878BD55" w14:textId="77777777" w:rsidR="000A3ADC" w:rsidRDefault="00853592">
      <w:pPr>
        <w:numPr>
          <w:ilvl w:val="0"/>
          <w:numId w:val="1"/>
        </w:numPr>
        <w:spacing w:after="5" w:line="271" w:lineRule="auto"/>
        <w:ind w:right="15" w:hanging="360"/>
        <w:jc w:val="both"/>
      </w:pPr>
      <w:r>
        <w:rPr>
          <w:rFonts w:ascii="Arial" w:eastAsia="Arial" w:hAnsi="Arial" w:cs="Arial"/>
          <w:sz w:val="20"/>
        </w:rPr>
        <w:t xml:space="preserve">Outline the purpose of the Marac Information Sharing Protocol. </w:t>
      </w:r>
    </w:p>
    <w:p w14:paraId="1B040C2B" w14:textId="77777777" w:rsidR="000A3ADC" w:rsidRDefault="00853592">
      <w:pPr>
        <w:numPr>
          <w:ilvl w:val="1"/>
          <w:numId w:val="1"/>
        </w:numPr>
        <w:spacing w:after="12" w:line="276" w:lineRule="auto"/>
        <w:ind w:left="1166" w:right="85" w:hanging="360"/>
        <w:jc w:val="both"/>
      </w:pPr>
      <w:r>
        <w:rPr>
          <w:rFonts w:ascii="Arial" w:eastAsia="Arial" w:hAnsi="Arial" w:cs="Arial"/>
          <w:i/>
          <w:sz w:val="20"/>
        </w:rPr>
        <w:t xml:space="preserve">Example: The purpose of the </w:t>
      </w:r>
      <w:r>
        <w:rPr>
          <w:rFonts w:ascii="Arial" w:eastAsia="Arial" w:hAnsi="Arial" w:cs="Arial"/>
        </w:rPr>
        <w:t xml:space="preserve">Marac </w:t>
      </w:r>
      <w:r>
        <w:rPr>
          <w:rFonts w:ascii="Arial" w:eastAsia="Arial" w:hAnsi="Arial" w:cs="Arial"/>
          <w:i/>
          <w:sz w:val="20"/>
        </w:rPr>
        <w:t>Information Sharing Protocol is to set out the legal grounds for information sharing between all agencies</w:t>
      </w:r>
      <w:r>
        <w:rPr>
          <w:rFonts w:ascii="Arial" w:eastAsia="Arial" w:hAnsi="Arial" w:cs="Arial"/>
          <w:i/>
          <w:sz w:val="20"/>
        </w:rPr>
        <w:t xml:space="preserve"> who have agreed to work together within the </w:t>
      </w:r>
      <w:r>
        <w:rPr>
          <w:rFonts w:ascii="Arial" w:eastAsia="Arial" w:hAnsi="Arial" w:cs="Arial"/>
          <w:i/>
        </w:rPr>
        <w:t>Marac</w:t>
      </w:r>
      <w:r>
        <w:rPr>
          <w:rFonts w:ascii="Arial" w:eastAsia="Arial" w:hAnsi="Arial" w:cs="Arial"/>
        </w:rPr>
        <w:t xml:space="preserve"> </w:t>
      </w:r>
      <w:r>
        <w:rPr>
          <w:rFonts w:ascii="Arial" w:eastAsia="Arial" w:hAnsi="Arial" w:cs="Arial"/>
          <w:i/>
          <w:sz w:val="20"/>
        </w:rPr>
        <w:t>framework in accordance with the relevant legislation (including The Data Protection Act (1998), The Children Act (1989 and 2004), Human Rights Act (2000) and any other relevant legislation as listed below</w:t>
      </w:r>
      <w:r>
        <w:rPr>
          <w:rFonts w:ascii="Arial" w:eastAsia="Arial" w:hAnsi="Arial" w:cs="Arial"/>
          <w:i/>
          <w:sz w:val="20"/>
        </w:rPr>
        <w:t xml:space="preserve">) in order to: increase the safety of all victims, including children; enable the protection of vulnerable people; and reduce crime and disorder locally. </w:t>
      </w:r>
    </w:p>
    <w:p w14:paraId="0553A07F" w14:textId="77777777" w:rsidR="000A3ADC" w:rsidRDefault="00853592">
      <w:pPr>
        <w:numPr>
          <w:ilvl w:val="0"/>
          <w:numId w:val="1"/>
        </w:numPr>
        <w:spacing w:after="5" w:line="271" w:lineRule="auto"/>
        <w:ind w:right="15" w:hanging="360"/>
        <w:jc w:val="both"/>
      </w:pPr>
      <w:r>
        <w:rPr>
          <w:rFonts w:ascii="Arial" w:eastAsia="Arial" w:hAnsi="Arial" w:cs="Arial"/>
          <w:sz w:val="20"/>
        </w:rPr>
        <w:t xml:space="preserve">List all relevant legislation. </w:t>
      </w:r>
    </w:p>
    <w:p w14:paraId="7440D790" w14:textId="77777777" w:rsidR="000A3ADC" w:rsidRDefault="00853592">
      <w:pPr>
        <w:numPr>
          <w:ilvl w:val="1"/>
          <w:numId w:val="1"/>
        </w:numPr>
        <w:spacing w:after="12" w:line="276" w:lineRule="auto"/>
        <w:ind w:left="1166" w:right="85" w:hanging="360"/>
        <w:jc w:val="both"/>
      </w:pPr>
      <w:r>
        <w:rPr>
          <w:rFonts w:ascii="Arial" w:eastAsia="Arial" w:hAnsi="Arial" w:cs="Arial"/>
          <w:i/>
          <w:sz w:val="20"/>
        </w:rPr>
        <w:t>Example: The Data Protection Act (1998), The Children Act (1989 and 2</w:t>
      </w:r>
      <w:r>
        <w:rPr>
          <w:rFonts w:ascii="Arial" w:eastAsia="Arial" w:hAnsi="Arial" w:cs="Arial"/>
          <w:i/>
          <w:sz w:val="20"/>
        </w:rPr>
        <w:t xml:space="preserve">004) and The Human Rights Act (2000) etc. </w:t>
      </w:r>
    </w:p>
    <w:p w14:paraId="769AAEB0" w14:textId="77777777" w:rsidR="000A3ADC" w:rsidRDefault="00853592">
      <w:pPr>
        <w:numPr>
          <w:ilvl w:val="0"/>
          <w:numId w:val="1"/>
        </w:numPr>
        <w:spacing w:after="5" w:line="271" w:lineRule="auto"/>
        <w:ind w:right="15" w:hanging="360"/>
        <w:jc w:val="both"/>
      </w:pPr>
      <w:r>
        <w:rPr>
          <w:rFonts w:ascii="Arial" w:eastAsia="Arial" w:hAnsi="Arial" w:cs="Arial"/>
          <w:sz w:val="20"/>
        </w:rPr>
        <w:t xml:space="preserve">Explain how the protocol sits with other inter-agency information sharing agreements in operation. </w:t>
      </w:r>
    </w:p>
    <w:p w14:paraId="272C8E0D" w14:textId="77777777" w:rsidR="000A3ADC" w:rsidRDefault="00853592">
      <w:pPr>
        <w:numPr>
          <w:ilvl w:val="1"/>
          <w:numId w:val="1"/>
        </w:numPr>
        <w:spacing w:after="12" w:line="276" w:lineRule="auto"/>
        <w:ind w:left="1166" w:right="85" w:hanging="360"/>
        <w:jc w:val="both"/>
      </w:pPr>
      <w:r>
        <w:rPr>
          <w:rFonts w:ascii="Arial" w:eastAsia="Arial" w:hAnsi="Arial" w:cs="Arial"/>
          <w:i/>
          <w:sz w:val="20"/>
        </w:rPr>
        <w:t xml:space="preserve">Example: The </w:t>
      </w:r>
      <w:r>
        <w:rPr>
          <w:rFonts w:ascii="Arial" w:eastAsia="Arial" w:hAnsi="Arial" w:cs="Arial"/>
        </w:rPr>
        <w:t xml:space="preserve">Marac </w:t>
      </w:r>
      <w:r>
        <w:rPr>
          <w:rFonts w:ascii="Arial" w:eastAsia="Arial" w:hAnsi="Arial" w:cs="Arial"/>
          <w:i/>
          <w:sz w:val="20"/>
        </w:rPr>
        <w:t xml:space="preserve">Information Sharing Protocol is designed to enhance existing arrangements rather than replace them. </w:t>
      </w:r>
    </w:p>
    <w:p w14:paraId="735242CA" w14:textId="77777777" w:rsidR="000A3ADC" w:rsidRDefault="00853592">
      <w:pPr>
        <w:numPr>
          <w:ilvl w:val="0"/>
          <w:numId w:val="1"/>
        </w:numPr>
        <w:spacing w:after="5" w:line="271" w:lineRule="auto"/>
        <w:ind w:right="15" w:hanging="360"/>
        <w:jc w:val="both"/>
      </w:pPr>
      <w:r>
        <w:rPr>
          <w:rFonts w:ascii="Arial" w:eastAsia="Arial" w:hAnsi="Arial" w:cs="Arial"/>
          <w:sz w:val="20"/>
        </w:rPr>
        <w:t xml:space="preserve">List all signatory agencies. </w:t>
      </w:r>
    </w:p>
    <w:p w14:paraId="35D936D2" w14:textId="77777777" w:rsidR="000A3ADC" w:rsidRDefault="00853592">
      <w:pPr>
        <w:numPr>
          <w:ilvl w:val="0"/>
          <w:numId w:val="1"/>
        </w:numPr>
        <w:spacing w:after="5" w:line="271" w:lineRule="auto"/>
        <w:ind w:right="15" w:hanging="360"/>
        <w:jc w:val="both"/>
      </w:pPr>
      <w:r>
        <w:rPr>
          <w:rFonts w:ascii="Arial" w:eastAsia="Arial" w:hAnsi="Arial" w:cs="Arial"/>
          <w:sz w:val="20"/>
        </w:rPr>
        <w:t xml:space="preserve">Set out the commitments of signatory agencies. </w:t>
      </w:r>
    </w:p>
    <w:p w14:paraId="6918DE71" w14:textId="77777777" w:rsidR="000A3ADC" w:rsidRDefault="00853592">
      <w:pPr>
        <w:numPr>
          <w:ilvl w:val="1"/>
          <w:numId w:val="1"/>
        </w:numPr>
        <w:spacing w:after="12" w:line="276" w:lineRule="auto"/>
        <w:ind w:left="1166" w:right="85" w:hanging="360"/>
        <w:jc w:val="both"/>
      </w:pPr>
      <w:r>
        <w:rPr>
          <w:rFonts w:ascii="Arial" w:eastAsia="Arial" w:hAnsi="Arial" w:cs="Arial"/>
          <w:i/>
          <w:sz w:val="20"/>
        </w:rPr>
        <w:t xml:space="preserve">Example: To share information in </w:t>
      </w:r>
      <w:proofErr w:type="gramStart"/>
      <w:r>
        <w:rPr>
          <w:rFonts w:ascii="Arial" w:eastAsia="Arial" w:hAnsi="Arial" w:cs="Arial"/>
          <w:i/>
          <w:sz w:val="20"/>
        </w:rPr>
        <w:t>high risk</w:t>
      </w:r>
      <w:proofErr w:type="gramEnd"/>
      <w:r>
        <w:rPr>
          <w:rFonts w:ascii="Arial" w:eastAsia="Arial" w:hAnsi="Arial" w:cs="Arial"/>
          <w:i/>
          <w:sz w:val="20"/>
        </w:rPr>
        <w:t xml:space="preserve"> situations, to comply with all rel</w:t>
      </w:r>
      <w:r>
        <w:rPr>
          <w:rFonts w:ascii="Arial" w:eastAsia="Arial" w:hAnsi="Arial" w:cs="Arial"/>
          <w:i/>
          <w:sz w:val="20"/>
        </w:rPr>
        <w:t xml:space="preserve">evant legislation, to register with the Information Commissioner’s Office, to seek their own legal advice, to use the data disclosed only for the agreed purpose etc. </w:t>
      </w:r>
    </w:p>
    <w:p w14:paraId="7A1A922E" w14:textId="77777777" w:rsidR="000A3ADC" w:rsidRDefault="00853592">
      <w:pPr>
        <w:spacing w:after="0"/>
      </w:pPr>
      <w:r>
        <w:rPr>
          <w:rFonts w:ascii="Arial" w:eastAsia="Arial" w:hAnsi="Arial" w:cs="Arial"/>
          <w:i/>
          <w:sz w:val="23"/>
        </w:rPr>
        <w:t xml:space="preserve"> </w:t>
      </w:r>
    </w:p>
    <w:p w14:paraId="6866D596" w14:textId="77777777" w:rsidR="000A3ADC" w:rsidRDefault="00853592">
      <w:pPr>
        <w:pStyle w:val="Heading1"/>
        <w:ind w:left="456"/>
      </w:pPr>
      <w:r>
        <w:t>II. Data</w:t>
      </w:r>
      <w:r>
        <w:rPr>
          <w:color w:val="000000"/>
        </w:rPr>
        <w:t xml:space="preserve"> </w:t>
      </w:r>
    </w:p>
    <w:p w14:paraId="4C1CC477" w14:textId="77777777" w:rsidR="000A3ADC" w:rsidRDefault="00853592">
      <w:pPr>
        <w:numPr>
          <w:ilvl w:val="0"/>
          <w:numId w:val="2"/>
        </w:numPr>
        <w:spacing w:after="5" w:line="271" w:lineRule="auto"/>
        <w:ind w:right="15" w:hanging="360"/>
        <w:jc w:val="both"/>
      </w:pPr>
      <w:r>
        <w:rPr>
          <w:rFonts w:ascii="Arial" w:eastAsia="Arial" w:hAnsi="Arial" w:cs="Arial"/>
          <w:sz w:val="20"/>
        </w:rPr>
        <w:t>Specify the nature of the data each agency will share regarding victim, child(ren), perpetrator(s</w:t>
      </w:r>
      <w:proofErr w:type="gramStart"/>
      <w:r>
        <w:rPr>
          <w:rFonts w:ascii="Arial" w:eastAsia="Arial" w:hAnsi="Arial" w:cs="Arial"/>
          <w:sz w:val="20"/>
        </w:rPr>
        <w:t>)</w:t>
      </w:r>
      <w:proofErr w:type="gramEnd"/>
      <w:r>
        <w:rPr>
          <w:rFonts w:ascii="Arial" w:eastAsia="Arial" w:hAnsi="Arial" w:cs="Arial"/>
          <w:sz w:val="20"/>
        </w:rPr>
        <w:t xml:space="preserve"> and possible future partners. </w:t>
      </w:r>
    </w:p>
    <w:p w14:paraId="048EBC06" w14:textId="3EDADCBF" w:rsidR="000A3ADC" w:rsidRDefault="00853592" w:rsidP="00853592">
      <w:pPr>
        <w:spacing w:after="12" w:line="276" w:lineRule="auto"/>
        <w:ind w:left="1176" w:right="85" w:hanging="370"/>
        <w:jc w:val="both"/>
      </w:pP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rFonts w:ascii="Arial" w:eastAsia="Arial" w:hAnsi="Arial" w:cs="Arial"/>
          <w:i/>
          <w:sz w:val="20"/>
        </w:rPr>
        <w:t xml:space="preserve">Example: Police will share crime incidents, offender information etc.; housing will share vandalism records, neighbourhood </w:t>
      </w:r>
      <w:r>
        <w:rPr>
          <w:rFonts w:ascii="Arial" w:eastAsia="Arial" w:hAnsi="Arial" w:cs="Arial"/>
          <w:i/>
          <w:sz w:val="20"/>
        </w:rPr>
        <w:t xml:space="preserve">complaints etc. </w:t>
      </w:r>
    </w:p>
    <w:p w14:paraId="72CFEC9F" w14:textId="77777777" w:rsidR="000A3ADC" w:rsidRDefault="00853592">
      <w:pPr>
        <w:spacing w:after="48"/>
        <w:ind w:left="360"/>
      </w:pPr>
      <w:r>
        <w:rPr>
          <w:rFonts w:ascii="Arial" w:eastAsia="Arial" w:hAnsi="Arial" w:cs="Arial"/>
        </w:rPr>
        <w:t xml:space="preserve"> </w:t>
      </w:r>
    </w:p>
    <w:p w14:paraId="2DB583AD" w14:textId="77777777" w:rsidR="000A3ADC" w:rsidRDefault="00853592">
      <w:pPr>
        <w:numPr>
          <w:ilvl w:val="0"/>
          <w:numId w:val="2"/>
        </w:numPr>
        <w:spacing w:after="33" w:line="271" w:lineRule="auto"/>
        <w:ind w:right="15" w:hanging="360"/>
        <w:jc w:val="both"/>
      </w:pPr>
      <w:r>
        <w:rPr>
          <w:rFonts w:ascii="Arial" w:eastAsia="Arial" w:hAnsi="Arial" w:cs="Arial"/>
          <w:sz w:val="20"/>
        </w:rPr>
        <w:t>Define the different types of data to be shared (non-</w:t>
      </w:r>
      <w:r>
        <w:rPr>
          <w:rFonts w:ascii="Arial" w:eastAsia="Arial" w:hAnsi="Arial" w:cs="Arial"/>
          <w:sz w:val="20"/>
        </w:rPr>
        <w:t xml:space="preserve">personal data, depersonalized data, personal </w:t>
      </w:r>
      <w:proofErr w:type="gramStart"/>
      <w:r>
        <w:rPr>
          <w:rFonts w:ascii="Arial" w:eastAsia="Arial" w:hAnsi="Arial" w:cs="Arial"/>
          <w:sz w:val="20"/>
        </w:rPr>
        <w:t>data</w:t>
      </w:r>
      <w:proofErr w:type="gramEnd"/>
      <w:r>
        <w:rPr>
          <w:rFonts w:ascii="Arial" w:eastAsia="Arial" w:hAnsi="Arial" w:cs="Arial"/>
          <w:sz w:val="20"/>
        </w:rPr>
        <w:t xml:space="preserve"> and sensitive personal data) and outline the different ways in which these types of data will be used. </w:t>
      </w:r>
    </w:p>
    <w:p w14:paraId="27895DB0" w14:textId="77777777" w:rsidR="000A3ADC" w:rsidRDefault="00853592">
      <w:pPr>
        <w:spacing w:after="0"/>
        <w:ind w:left="360"/>
      </w:pPr>
      <w:r>
        <w:rPr>
          <w:rFonts w:ascii="Arial" w:eastAsia="Arial" w:hAnsi="Arial" w:cs="Arial"/>
          <w:sz w:val="23"/>
        </w:rPr>
        <w:t xml:space="preserve"> </w:t>
      </w:r>
    </w:p>
    <w:p w14:paraId="5BDBFA9C" w14:textId="77777777" w:rsidR="000A3ADC" w:rsidRDefault="00853592">
      <w:pPr>
        <w:numPr>
          <w:ilvl w:val="0"/>
          <w:numId w:val="2"/>
        </w:numPr>
        <w:spacing w:after="5" w:line="271" w:lineRule="auto"/>
        <w:ind w:right="15" w:hanging="360"/>
        <w:jc w:val="both"/>
      </w:pPr>
      <w:r>
        <w:rPr>
          <w:rFonts w:ascii="Arial" w:eastAsia="Arial" w:hAnsi="Arial" w:cs="Arial"/>
          <w:sz w:val="20"/>
        </w:rPr>
        <w:t xml:space="preserve">Outline the statutory gateways for information sharing. </w:t>
      </w:r>
    </w:p>
    <w:p w14:paraId="212A0C10" w14:textId="77777777" w:rsidR="000A3ADC" w:rsidRDefault="00853592">
      <w:pPr>
        <w:numPr>
          <w:ilvl w:val="1"/>
          <w:numId w:val="2"/>
        </w:numPr>
        <w:spacing w:after="12" w:line="276" w:lineRule="auto"/>
        <w:ind w:left="1166" w:right="85" w:hanging="360"/>
        <w:jc w:val="both"/>
      </w:pPr>
      <w:r>
        <w:rPr>
          <w:rFonts w:ascii="Arial" w:eastAsia="Arial" w:hAnsi="Arial" w:cs="Arial"/>
          <w:i/>
          <w:sz w:val="20"/>
        </w:rPr>
        <w:t xml:space="preserve">Example: Explain how the relevant provisions of the Crime and Disorder, Human Rights, and Data Protection Acts allow for information sharing in certain circumstances. </w:t>
      </w:r>
    </w:p>
    <w:p w14:paraId="651D9009" w14:textId="77777777" w:rsidR="000A3ADC" w:rsidRDefault="00853592">
      <w:pPr>
        <w:spacing w:after="0"/>
        <w:ind w:left="360"/>
        <w:rPr>
          <w:rFonts w:ascii="Arial" w:eastAsia="Arial" w:hAnsi="Arial" w:cs="Arial"/>
          <w:i/>
          <w:sz w:val="24"/>
        </w:rPr>
      </w:pPr>
      <w:r>
        <w:rPr>
          <w:rFonts w:ascii="Arial" w:eastAsia="Arial" w:hAnsi="Arial" w:cs="Arial"/>
          <w:i/>
          <w:sz w:val="24"/>
        </w:rPr>
        <w:lastRenderedPageBreak/>
        <w:t xml:space="preserve"> </w:t>
      </w:r>
    </w:p>
    <w:p w14:paraId="7083F804" w14:textId="77777777" w:rsidR="00853592" w:rsidRDefault="00853592">
      <w:pPr>
        <w:spacing w:after="0"/>
        <w:ind w:left="360"/>
        <w:rPr>
          <w:rFonts w:ascii="Arial" w:eastAsia="Arial" w:hAnsi="Arial" w:cs="Arial"/>
          <w:i/>
          <w:sz w:val="24"/>
        </w:rPr>
      </w:pPr>
    </w:p>
    <w:p w14:paraId="3F91023A" w14:textId="77777777" w:rsidR="00853592" w:rsidRDefault="00853592">
      <w:pPr>
        <w:spacing w:after="0"/>
        <w:ind w:left="360"/>
      </w:pPr>
    </w:p>
    <w:p w14:paraId="3A2B9B63" w14:textId="77777777" w:rsidR="000A3ADC" w:rsidRDefault="00853592">
      <w:pPr>
        <w:numPr>
          <w:ilvl w:val="0"/>
          <w:numId w:val="2"/>
        </w:numPr>
        <w:spacing w:after="5" w:line="271" w:lineRule="auto"/>
        <w:ind w:right="15" w:hanging="360"/>
        <w:jc w:val="both"/>
      </w:pPr>
      <w:r>
        <w:rPr>
          <w:rFonts w:ascii="Arial" w:eastAsia="Arial" w:hAnsi="Arial" w:cs="Arial"/>
          <w:sz w:val="20"/>
        </w:rPr>
        <w:t xml:space="preserve">Explain best practice around obtaining consent from the victim. </w:t>
      </w:r>
    </w:p>
    <w:p w14:paraId="35F4F0F1" w14:textId="54E57101" w:rsidR="000A3ADC" w:rsidRDefault="00853592">
      <w:pPr>
        <w:numPr>
          <w:ilvl w:val="1"/>
          <w:numId w:val="2"/>
        </w:numPr>
        <w:spacing w:after="12" w:line="276" w:lineRule="auto"/>
        <w:ind w:left="1166" w:right="85" w:hanging="360"/>
        <w:jc w:val="both"/>
      </w:pPr>
      <w:r>
        <w:rPr>
          <w:rFonts w:ascii="Arial" w:eastAsia="Arial" w:hAnsi="Arial" w:cs="Arial"/>
          <w:i/>
          <w:sz w:val="20"/>
        </w:rPr>
        <w:t>Example: It is best p</w:t>
      </w:r>
      <w:r>
        <w:rPr>
          <w:rFonts w:ascii="Arial" w:eastAsia="Arial" w:hAnsi="Arial" w:cs="Arial"/>
          <w:i/>
          <w:sz w:val="20"/>
        </w:rPr>
        <w:t xml:space="preserve">ractice to obtain consent but not obligatory in </w:t>
      </w:r>
      <w:proofErr w:type="gramStart"/>
      <w:r>
        <w:rPr>
          <w:rFonts w:ascii="Arial" w:eastAsia="Arial" w:hAnsi="Arial" w:cs="Arial"/>
          <w:i/>
          <w:sz w:val="20"/>
        </w:rPr>
        <w:t xml:space="preserve">high </w:t>
      </w:r>
      <w:r>
        <w:rPr>
          <w:rFonts w:ascii="Arial" w:eastAsia="Arial" w:hAnsi="Arial" w:cs="Arial"/>
          <w:i/>
          <w:sz w:val="20"/>
        </w:rPr>
        <w:t>risk</w:t>
      </w:r>
      <w:proofErr w:type="gramEnd"/>
      <w:r>
        <w:rPr>
          <w:rFonts w:ascii="Arial" w:eastAsia="Arial" w:hAnsi="Arial" w:cs="Arial"/>
          <w:i/>
          <w:sz w:val="20"/>
        </w:rPr>
        <w:t xml:space="preserve"> cases and this approach is not always safe. </w:t>
      </w:r>
    </w:p>
    <w:p w14:paraId="10CC2E70" w14:textId="77777777" w:rsidR="000A3ADC" w:rsidRDefault="00853592">
      <w:pPr>
        <w:spacing w:after="0"/>
        <w:ind w:left="360"/>
      </w:pPr>
      <w:r>
        <w:rPr>
          <w:rFonts w:ascii="Arial" w:eastAsia="Arial" w:hAnsi="Arial" w:cs="Arial"/>
          <w:i/>
          <w:sz w:val="24"/>
        </w:rPr>
        <w:t xml:space="preserve"> </w:t>
      </w:r>
    </w:p>
    <w:p w14:paraId="041E2CD9" w14:textId="77777777" w:rsidR="000A3ADC" w:rsidRDefault="00853592">
      <w:pPr>
        <w:numPr>
          <w:ilvl w:val="0"/>
          <w:numId w:val="2"/>
        </w:numPr>
        <w:spacing w:after="5" w:line="271" w:lineRule="auto"/>
        <w:ind w:right="15" w:hanging="360"/>
        <w:jc w:val="both"/>
      </w:pPr>
      <w:r>
        <w:rPr>
          <w:rFonts w:ascii="Arial" w:eastAsia="Arial" w:hAnsi="Arial" w:cs="Arial"/>
          <w:sz w:val="20"/>
        </w:rPr>
        <w:t xml:space="preserve">Outline where public interest overrides the need to obtain consent from the victim. </w:t>
      </w:r>
    </w:p>
    <w:p w14:paraId="14AB301D" w14:textId="77777777" w:rsidR="000A3ADC" w:rsidRDefault="00853592">
      <w:pPr>
        <w:spacing w:after="0"/>
        <w:ind w:left="360"/>
      </w:pPr>
      <w:r>
        <w:rPr>
          <w:rFonts w:ascii="Arial" w:eastAsia="Arial" w:hAnsi="Arial" w:cs="Arial"/>
          <w:sz w:val="25"/>
        </w:rPr>
        <w:t xml:space="preserve"> </w:t>
      </w:r>
    </w:p>
    <w:p w14:paraId="0661939E" w14:textId="77777777" w:rsidR="000A3ADC" w:rsidRDefault="00853592">
      <w:pPr>
        <w:numPr>
          <w:ilvl w:val="0"/>
          <w:numId w:val="2"/>
        </w:numPr>
        <w:spacing w:after="5" w:line="271" w:lineRule="auto"/>
        <w:ind w:right="15" w:hanging="360"/>
        <w:jc w:val="both"/>
      </w:pPr>
      <w:r>
        <w:rPr>
          <w:rFonts w:ascii="Arial" w:eastAsia="Arial" w:hAnsi="Arial" w:cs="Arial"/>
          <w:sz w:val="20"/>
        </w:rPr>
        <w:t xml:space="preserve">Highlight the need for proportionality to govern decisions made </w:t>
      </w:r>
      <w:r>
        <w:rPr>
          <w:rFonts w:ascii="Arial" w:eastAsia="Arial" w:hAnsi="Arial" w:cs="Arial"/>
          <w:sz w:val="20"/>
        </w:rPr>
        <w:t xml:space="preserve">about sharing information. </w:t>
      </w:r>
    </w:p>
    <w:p w14:paraId="6868C806" w14:textId="77777777" w:rsidR="000A3ADC" w:rsidRDefault="00853592">
      <w:pPr>
        <w:numPr>
          <w:ilvl w:val="1"/>
          <w:numId w:val="2"/>
        </w:numPr>
        <w:spacing w:after="12" w:line="276" w:lineRule="auto"/>
        <w:ind w:left="1166" w:right="85" w:hanging="360"/>
        <w:jc w:val="both"/>
      </w:pPr>
      <w:r>
        <w:rPr>
          <w:rFonts w:ascii="Arial" w:eastAsia="Arial" w:hAnsi="Arial" w:cs="Arial"/>
          <w:i/>
          <w:sz w:val="20"/>
        </w:rPr>
        <w:t xml:space="preserve">Example: Signatory agencies should consider the perpetrator’s right to a private life under Article 8 of the Human Rights Act, and balance this with the need to share information. </w:t>
      </w:r>
    </w:p>
    <w:p w14:paraId="16CE6DCB" w14:textId="77777777" w:rsidR="000A3ADC" w:rsidRDefault="00853592">
      <w:pPr>
        <w:spacing w:after="0"/>
        <w:ind w:left="360"/>
      </w:pPr>
      <w:r>
        <w:rPr>
          <w:rFonts w:ascii="Arial" w:eastAsia="Arial" w:hAnsi="Arial" w:cs="Arial"/>
          <w:i/>
          <w:sz w:val="24"/>
        </w:rPr>
        <w:t xml:space="preserve"> </w:t>
      </w:r>
    </w:p>
    <w:p w14:paraId="0856AF89" w14:textId="77777777" w:rsidR="000A3ADC" w:rsidRDefault="00853592">
      <w:pPr>
        <w:numPr>
          <w:ilvl w:val="0"/>
          <w:numId w:val="2"/>
        </w:numPr>
        <w:spacing w:after="5" w:line="271" w:lineRule="auto"/>
        <w:ind w:right="15" w:hanging="360"/>
        <w:jc w:val="both"/>
      </w:pPr>
      <w:r>
        <w:rPr>
          <w:rFonts w:ascii="Arial" w:eastAsia="Arial" w:hAnsi="Arial" w:cs="Arial"/>
          <w:sz w:val="20"/>
        </w:rPr>
        <w:t>Set out the role of the data controller/ sing</w:t>
      </w:r>
      <w:r>
        <w:rPr>
          <w:rFonts w:ascii="Arial" w:eastAsia="Arial" w:hAnsi="Arial" w:cs="Arial"/>
          <w:sz w:val="20"/>
        </w:rPr>
        <w:t xml:space="preserve">le point of contact for each signatory agency. </w:t>
      </w:r>
    </w:p>
    <w:p w14:paraId="0098C363" w14:textId="77777777" w:rsidR="000A3ADC" w:rsidRDefault="00853592">
      <w:pPr>
        <w:numPr>
          <w:ilvl w:val="1"/>
          <w:numId w:val="2"/>
        </w:numPr>
        <w:spacing w:after="27" w:line="271" w:lineRule="auto"/>
        <w:ind w:left="1166" w:right="85" w:hanging="360"/>
        <w:jc w:val="both"/>
      </w:pPr>
      <w:r>
        <w:rPr>
          <w:rFonts w:ascii="Arial" w:eastAsia="Arial" w:hAnsi="Arial" w:cs="Arial"/>
          <w:i/>
          <w:sz w:val="20"/>
        </w:rPr>
        <w:t xml:space="preserve">Example: The data controller must be of a sufficient standing within the signatory agency to have a coordinating and authorising role as they are responsible for ensuring that the </w:t>
      </w:r>
      <w:proofErr w:type="gramStart"/>
      <w:r>
        <w:rPr>
          <w:rFonts w:ascii="Arial" w:eastAsia="Arial" w:hAnsi="Arial" w:cs="Arial"/>
          <w:i/>
          <w:sz w:val="20"/>
        </w:rPr>
        <w:t>agency</w:t>
      </w:r>
      <w:proofErr w:type="gramEnd"/>
      <w:r>
        <w:rPr>
          <w:rFonts w:ascii="Arial" w:eastAsia="Arial" w:hAnsi="Arial" w:cs="Arial"/>
          <w:i/>
          <w:sz w:val="20"/>
        </w:rPr>
        <w:t xml:space="preserve"> they represent obeys the protocol and all relevant legislation, etc. </w:t>
      </w:r>
    </w:p>
    <w:p w14:paraId="7F8C4B4F" w14:textId="77777777" w:rsidR="000A3ADC" w:rsidRDefault="00853592">
      <w:pPr>
        <w:spacing w:after="0"/>
        <w:ind w:left="360"/>
      </w:pPr>
      <w:r>
        <w:rPr>
          <w:rFonts w:ascii="Arial" w:eastAsia="Arial" w:hAnsi="Arial" w:cs="Arial"/>
          <w:i/>
          <w:sz w:val="23"/>
        </w:rPr>
        <w:t xml:space="preserve"> </w:t>
      </w:r>
    </w:p>
    <w:p w14:paraId="44320532" w14:textId="77777777" w:rsidR="000A3ADC" w:rsidRDefault="00853592">
      <w:pPr>
        <w:pStyle w:val="Heading1"/>
        <w:ind w:left="456"/>
      </w:pPr>
      <w:r>
        <w:t>III. Process</w:t>
      </w:r>
      <w:r>
        <w:rPr>
          <w:color w:val="000000"/>
        </w:rPr>
        <w:t xml:space="preserve"> </w:t>
      </w:r>
    </w:p>
    <w:p w14:paraId="4DFE18F8" w14:textId="77777777" w:rsidR="000A3ADC" w:rsidRDefault="00853592">
      <w:pPr>
        <w:numPr>
          <w:ilvl w:val="0"/>
          <w:numId w:val="3"/>
        </w:numPr>
        <w:spacing w:after="5" w:line="271" w:lineRule="auto"/>
        <w:ind w:right="15" w:hanging="360"/>
        <w:jc w:val="both"/>
      </w:pPr>
      <w:r>
        <w:rPr>
          <w:rFonts w:ascii="Arial" w:eastAsia="Arial" w:hAnsi="Arial" w:cs="Arial"/>
          <w:sz w:val="20"/>
        </w:rPr>
        <w:t xml:space="preserve">Outline how signatory agencies meet disclosure requests. </w:t>
      </w:r>
    </w:p>
    <w:p w14:paraId="2810B8B6" w14:textId="77777777" w:rsidR="000A3ADC" w:rsidRDefault="00853592">
      <w:pPr>
        <w:numPr>
          <w:ilvl w:val="0"/>
          <w:numId w:val="3"/>
        </w:numPr>
        <w:spacing w:after="5" w:line="271" w:lineRule="auto"/>
        <w:ind w:right="15" w:hanging="360"/>
        <w:jc w:val="both"/>
      </w:pPr>
      <w:r>
        <w:rPr>
          <w:rFonts w:ascii="Arial" w:eastAsia="Arial" w:hAnsi="Arial" w:cs="Arial"/>
          <w:sz w:val="20"/>
        </w:rPr>
        <w:t>Outline how signatory agencies meet subject access requests (</w:t>
      </w:r>
      <w:proofErr w:type="gramStart"/>
      <w:r>
        <w:rPr>
          <w:rFonts w:ascii="Arial" w:eastAsia="Arial" w:hAnsi="Arial" w:cs="Arial"/>
          <w:sz w:val="20"/>
        </w:rPr>
        <w:t>e.g.</w:t>
      </w:r>
      <w:proofErr w:type="gramEnd"/>
      <w:r>
        <w:rPr>
          <w:rFonts w:ascii="Arial" w:eastAsia="Arial" w:hAnsi="Arial" w:cs="Arial"/>
          <w:sz w:val="20"/>
        </w:rPr>
        <w:t xml:space="preserve"> by the victim or perpetrator). </w:t>
      </w:r>
    </w:p>
    <w:p w14:paraId="248AF70F" w14:textId="77777777" w:rsidR="000A3ADC" w:rsidRDefault="00853592">
      <w:pPr>
        <w:numPr>
          <w:ilvl w:val="0"/>
          <w:numId w:val="3"/>
        </w:numPr>
        <w:spacing w:after="5" w:line="271" w:lineRule="auto"/>
        <w:ind w:right="15" w:hanging="360"/>
        <w:jc w:val="both"/>
      </w:pPr>
      <w:r>
        <w:rPr>
          <w:rFonts w:ascii="Arial" w:eastAsia="Arial" w:hAnsi="Arial" w:cs="Arial"/>
          <w:sz w:val="20"/>
        </w:rPr>
        <w:t xml:space="preserve">Explain how signatory agencies will agree on the criteria for ‘weeding’ data. </w:t>
      </w:r>
    </w:p>
    <w:p w14:paraId="0234C53B" w14:textId="77777777" w:rsidR="000A3ADC" w:rsidRDefault="00853592">
      <w:pPr>
        <w:numPr>
          <w:ilvl w:val="0"/>
          <w:numId w:val="3"/>
        </w:numPr>
        <w:spacing w:after="5" w:line="271" w:lineRule="auto"/>
        <w:ind w:right="15" w:hanging="360"/>
        <w:jc w:val="both"/>
      </w:pPr>
      <w:r>
        <w:rPr>
          <w:rFonts w:ascii="Arial" w:eastAsia="Arial" w:hAnsi="Arial" w:cs="Arial"/>
          <w:sz w:val="20"/>
        </w:rPr>
        <w:t>Spec</w:t>
      </w:r>
      <w:r>
        <w:rPr>
          <w:rFonts w:ascii="Arial" w:eastAsia="Arial" w:hAnsi="Arial" w:cs="Arial"/>
          <w:sz w:val="20"/>
        </w:rPr>
        <w:t xml:space="preserve">ify the key principles when handling media involvement in relevant cases. </w:t>
      </w:r>
    </w:p>
    <w:p w14:paraId="3D7F268D" w14:textId="77777777" w:rsidR="000A3ADC" w:rsidRDefault="00853592">
      <w:pPr>
        <w:numPr>
          <w:ilvl w:val="0"/>
          <w:numId w:val="3"/>
        </w:numPr>
        <w:spacing w:after="5" w:line="271" w:lineRule="auto"/>
        <w:ind w:right="15" w:hanging="360"/>
        <w:jc w:val="both"/>
      </w:pPr>
      <w:r>
        <w:rPr>
          <w:rFonts w:ascii="Arial" w:eastAsia="Arial" w:hAnsi="Arial" w:cs="Arial"/>
          <w:sz w:val="20"/>
        </w:rPr>
        <w:t xml:space="preserve">Information sharing with and referral to and from other </w:t>
      </w:r>
      <w:proofErr w:type="spellStart"/>
      <w:r>
        <w:rPr>
          <w:rFonts w:ascii="Arial" w:eastAsia="Arial" w:hAnsi="Arial" w:cs="Arial"/>
          <w:sz w:val="20"/>
        </w:rPr>
        <w:t>Maracs</w:t>
      </w:r>
      <w:proofErr w:type="spellEnd"/>
      <w:r>
        <w:rPr>
          <w:rFonts w:ascii="Arial" w:eastAsia="Arial" w:hAnsi="Arial" w:cs="Arial"/>
          <w:sz w:val="20"/>
        </w:rPr>
        <w:t xml:space="preserve">. </w:t>
      </w:r>
    </w:p>
    <w:p w14:paraId="51F6B8F4" w14:textId="77777777" w:rsidR="000A3ADC" w:rsidRDefault="00853592">
      <w:pPr>
        <w:spacing w:after="12" w:line="276" w:lineRule="auto"/>
        <w:ind w:left="1176" w:right="85" w:hanging="370"/>
        <w:jc w:val="both"/>
      </w:pP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i/>
          <w:sz w:val="20"/>
        </w:rPr>
        <w:t xml:space="preserve">Example: Consistency, honesty, impartiality, and a consent-based approach when making information public. </w:t>
      </w:r>
    </w:p>
    <w:p w14:paraId="01224F4C" w14:textId="77777777" w:rsidR="000A3ADC" w:rsidRDefault="00853592">
      <w:pPr>
        <w:spacing w:after="0"/>
        <w:ind w:left="360"/>
      </w:pPr>
      <w:r>
        <w:rPr>
          <w:rFonts w:ascii="Arial" w:eastAsia="Arial" w:hAnsi="Arial" w:cs="Arial"/>
          <w:i/>
          <w:sz w:val="24"/>
        </w:rPr>
        <w:t xml:space="preserve"> </w:t>
      </w:r>
    </w:p>
    <w:p w14:paraId="1C48C43E" w14:textId="77777777" w:rsidR="000A3ADC" w:rsidRDefault="00853592">
      <w:pPr>
        <w:pStyle w:val="Heading1"/>
        <w:ind w:left="456"/>
      </w:pPr>
      <w:r>
        <w:t>IV. S</w:t>
      </w:r>
      <w:r>
        <w:t>ecurity and data management</w:t>
      </w:r>
      <w:r>
        <w:rPr>
          <w:color w:val="000000"/>
        </w:rPr>
        <w:t xml:space="preserve"> </w:t>
      </w:r>
    </w:p>
    <w:p w14:paraId="2E9D49C1" w14:textId="77777777" w:rsidR="000A3ADC" w:rsidRDefault="00853592">
      <w:pPr>
        <w:numPr>
          <w:ilvl w:val="0"/>
          <w:numId w:val="4"/>
        </w:numPr>
        <w:spacing w:after="5" w:line="271" w:lineRule="auto"/>
        <w:ind w:right="1421" w:hanging="360"/>
        <w:jc w:val="both"/>
      </w:pPr>
      <w:r>
        <w:rPr>
          <w:rFonts w:ascii="Arial" w:eastAsia="Arial" w:hAnsi="Arial" w:cs="Arial"/>
          <w:sz w:val="20"/>
        </w:rPr>
        <w:t xml:space="preserve">Set out an acceptable standard of security when storing and processing data so that its integrity and confidentiality are </w:t>
      </w:r>
      <w:proofErr w:type="gramStart"/>
      <w:r>
        <w:rPr>
          <w:rFonts w:ascii="Arial" w:eastAsia="Arial" w:hAnsi="Arial" w:cs="Arial"/>
          <w:sz w:val="20"/>
        </w:rPr>
        <w:t>maintained at all times</w:t>
      </w:r>
      <w:proofErr w:type="gramEnd"/>
      <w:r>
        <w:rPr>
          <w:rFonts w:ascii="Arial" w:eastAsia="Arial" w:hAnsi="Arial" w:cs="Arial"/>
          <w:sz w:val="20"/>
        </w:rPr>
        <w:t xml:space="preserve">. </w:t>
      </w:r>
    </w:p>
    <w:p w14:paraId="63233E2D" w14:textId="77777777" w:rsidR="000A3ADC" w:rsidRDefault="00853592">
      <w:pPr>
        <w:numPr>
          <w:ilvl w:val="0"/>
          <w:numId w:val="4"/>
        </w:numPr>
        <w:spacing w:after="5" w:line="271" w:lineRule="auto"/>
        <w:ind w:right="1421" w:hanging="360"/>
        <w:jc w:val="both"/>
      </w:pPr>
      <w:r>
        <w:rPr>
          <w:rFonts w:ascii="Arial" w:eastAsia="Arial" w:hAnsi="Arial" w:cs="Arial"/>
          <w:sz w:val="20"/>
        </w:rPr>
        <w:t xml:space="preserve">Outline how use of information outside of the meeting is governed. </w:t>
      </w:r>
      <w:r>
        <w:rPr>
          <w:rFonts w:ascii="Segoe UI Symbol" w:eastAsia="Segoe UI Symbol" w:hAnsi="Segoe UI Symbol" w:cs="Segoe UI Symbol"/>
          <w:sz w:val="20"/>
        </w:rPr>
        <w:t></w:t>
      </w:r>
      <w:r>
        <w:rPr>
          <w:rFonts w:ascii="Arial" w:eastAsia="Arial" w:hAnsi="Arial" w:cs="Arial"/>
          <w:sz w:val="20"/>
        </w:rPr>
        <w:t xml:space="preserve"> Outline ho</w:t>
      </w:r>
      <w:r>
        <w:rPr>
          <w:rFonts w:ascii="Arial" w:eastAsia="Arial" w:hAnsi="Arial" w:cs="Arial"/>
          <w:sz w:val="20"/>
        </w:rPr>
        <w:t xml:space="preserve">w long data should be kept after it is first collected. </w:t>
      </w:r>
    </w:p>
    <w:p w14:paraId="5A152A5C" w14:textId="77777777" w:rsidR="000A3ADC" w:rsidRDefault="00853592">
      <w:pPr>
        <w:spacing w:after="0"/>
        <w:ind w:left="360"/>
      </w:pPr>
      <w:r>
        <w:rPr>
          <w:rFonts w:ascii="Arial" w:eastAsia="Arial" w:hAnsi="Arial" w:cs="Arial"/>
          <w:sz w:val="25"/>
        </w:rPr>
        <w:t xml:space="preserve"> </w:t>
      </w:r>
    </w:p>
    <w:p w14:paraId="7907040E" w14:textId="77777777" w:rsidR="000A3ADC" w:rsidRDefault="00853592">
      <w:pPr>
        <w:pStyle w:val="Heading1"/>
        <w:ind w:left="456"/>
      </w:pPr>
      <w:r>
        <w:t>V. Complaints</w:t>
      </w:r>
      <w:r>
        <w:rPr>
          <w:color w:val="000000"/>
        </w:rPr>
        <w:t xml:space="preserve"> </w:t>
      </w:r>
    </w:p>
    <w:p w14:paraId="1D3377DC" w14:textId="3A713DC4" w:rsidR="000A3ADC" w:rsidRDefault="00853592" w:rsidP="00853592">
      <w:pPr>
        <w:pStyle w:val="ListParagraph"/>
        <w:numPr>
          <w:ilvl w:val="0"/>
          <w:numId w:val="7"/>
        </w:numPr>
        <w:spacing w:after="5" w:line="271" w:lineRule="auto"/>
        <w:ind w:right="15"/>
        <w:jc w:val="both"/>
      </w:pPr>
      <w:r w:rsidRPr="00853592">
        <w:rPr>
          <w:rFonts w:ascii="Arial" w:eastAsia="Arial" w:hAnsi="Arial" w:cs="Arial"/>
          <w:sz w:val="20"/>
        </w:rPr>
        <w:t xml:space="preserve">Outline the process for making a complaint against another signatory agency about their </w:t>
      </w:r>
      <w:r w:rsidRPr="00853592">
        <w:rPr>
          <w:rFonts w:ascii="Arial" w:eastAsia="Arial" w:hAnsi="Arial" w:cs="Arial"/>
        </w:rPr>
        <w:t xml:space="preserve">Marac </w:t>
      </w:r>
      <w:r w:rsidRPr="00853592">
        <w:rPr>
          <w:rFonts w:ascii="Arial" w:eastAsia="Arial" w:hAnsi="Arial" w:cs="Arial"/>
          <w:sz w:val="20"/>
        </w:rPr>
        <w:t xml:space="preserve">activities or processes. </w:t>
      </w:r>
    </w:p>
    <w:p w14:paraId="5A8A069E" w14:textId="77777777" w:rsidR="000A3ADC" w:rsidRDefault="00853592">
      <w:pPr>
        <w:spacing w:after="0"/>
        <w:ind w:left="360"/>
      </w:pPr>
      <w:r>
        <w:rPr>
          <w:rFonts w:ascii="Arial" w:eastAsia="Arial" w:hAnsi="Arial" w:cs="Arial"/>
        </w:rPr>
        <w:t xml:space="preserve"> </w:t>
      </w:r>
    </w:p>
    <w:p w14:paraId="40102315" w14:textId="77777777" w:rsidR="00853592" w:rsidRPr="00853592" w:rsidRDefault="00853592">
      <w:pPr>
        <w:numPr>
          <w:ilvl w:val="0"/>
          <w:numId w:val="5"/>
        </w:numPr>
        <w:spacing w:after="5" w:line="271" w:lineRule="auto"/>
        <w:ind w:right="233" w:hanging="353"/>
      </w:pPr>
      <w:r>
        <w:rPr>
          <w:rFonts w:ascii="Arial" w:eastAsia="Arial" w:hAnsi="Arial" w:cs="Arial"/>
          <w:b/>
          <w:color w:val="EF4E9E"/>
          <w:sz w:val="20"/>
        </w:rPr>
        <w:t>Breaches</w:t>
      </w:r>
    </w:p>
    <w:p w14:paraId="7C2CB11D" w14:textId="741761CE" w:rsidR="000A3ADC" w:rsidRDefault="00853592" w:rsidP="00853592">
      <w:pPr>
        <w:pStyle w:val="ListParagraph"/>
        <w:numPr>
          <w:ilvl w:val="0"/>
          <w:numId w:val="7"/>
        </w:numPr>
        <w:spacing w:after="5" w:line="271" w:lineRule="auto"/>
        <w:ind w:right="233"/>
      </w:pPr>
      <w:r w:rsidRPr="00853592">
        <w:rPr>
          <w:rFonts w:ascii="Arial" w:eastAsia="Arial" w:hAnsi="Arial" w:cs="Arial"/>
          <w:sz w:val="20"/>
        </w:rPr>
        <w:t xml:space="preserve">Highlight that a breach of this protocol would be extremely damaging for all signatory agencies. </w:t>
      </w:r>
    </w:p>
    <w:p w14:paraId="59939DF2" w14:textId="77777777" w:rsidR="000A3ADC" w:rsidRDefault="00853592">
      <w:pPr>
        <w:spacing w:after="0"/>
        <w:ind w:left="360"/>
      </w:pPr>
      <w:r>
        <w:rPr>
          <w:rFonts w:ascii="Arial" w:eastAsia="Arial" w:hAnsi="Arial" w:cs="Arial"/>
          <w:sz w:val="25"/>
        </w:rPr>
        <w:t xml:space="preserve"> </w:t>
      </w:r>
    </w:p>
    <w:p w14:paraId="0F1F22DC" w14:textId="77777777" w:rsidR="000A3ADC" w:rsidRDefault="00853592">
      <w:pPr>
        <w:numPr>
          <w:ilvl w:val="0"/>
          <w:numId w:val="5"/>
        </w:numPr>
        <w:spacing w:after="5"/>
        <w:ind w:right="233" w:hanging="353"/>
      </w:pPr>
      <w:r>
        <w:rPr>
          <w:rFonts w:ascii="Arial" w:eastAsia="Arial" w:hAnsi="Arial" w:cs="Arial"/>
          <w:b/>
          <w:color w:val="EF4E9E"/>
          <w:sz w:val="20"/>
        </w:rPr>
        <w:t>Review</w:t>
      </w:r>
      <w:r>
        <w:rPr>
          <w:rFonts w:ascii="Arial" w:eastAsia="Arial" w:hAnsi="Arial" w:cs="Arial"/>
          <w:b/>
          <w:sz w:val="20"/>
        </w:rPr>
        <w:t xml:space="preserve"> </w:t>
      </w:r>
    </w:p>
    <w:p w14:paraId="58F4411F" w14:textId="56EF710E" w:rsidR="00853592" w:rsidRDefault="00853592" w:rsidP="00853592">
      <w:pPr>
        <w:pStyle w:val="ListParagraph"/>
        <w:numPr>
          <w:ilvl w:val="0"/>
          <w:numId w:val="7"/>
        </w:numPr>
        <w:tabs>
          <w:tab w:val="center" w:pos="505"/>
          <w:tab w:val="center" w:pos="3864"/>
        </w:tabs>
        <w:spacing w:after="5" w:line="271" w:lineRule="auto"/>
      </w:pPr>
      <w:r w:rsidRPr="00853592">
        <w:rPr>
          <w:rFonts w:ascii="Arial" w:eastAsia="Arial" w:hAnsi="Arial" w:cs="Arial"/>
          <w:sz w:val="20"/>
        </w:rPr>
        <w:t xml:space="preserve">Specify a date for reviewing the </w:t>
      </w:r>
      <w:r w:rsidRPr="00853592">
        <w:rPr>
          <w:rFonts w:ascii="Arial" w:eastAsia="Arial" w:hAnsi="Arial" w:cs="Arial"/>
        </w:rPr>
        <w:t xml:space="preserve">Marac </w:t>
      </w:r>
      <w:r w:rsidRPr="00853592">
        <w:rPr>
          <w:rFonts w:ascii="Arial" w:eastAsia="Arial" w:hAnsi="Arial" w:cs="Arial"/>
          <w:sz w:val="20"/>
        </w:rPr>
        <w:t xml:space="preserve">Information Sharing Protocol. </w:t>
      </w:r>
    </w:p>
    <w:p w14:paraId="34B37B7D" w14:textId="77777777" w:rsidR="00853592" w:rsidRDefault="00853592">
      <w:pPr>
        <w:pStyle w:val="Heading1"/>
        <w:ind w:left="456"/>
      </w:pPr>
    </w:p>
    <w:p w14:paraId="49A27AD3" w14:textId="2D732086" w:rsidR="000A3ADC" w:rsidRDefault="00853592">
      <w:pPr>
        <w:pStyle w:val="Heading1"/>
        <w:ind w:left="456"/>
      </w:pPr>
      <w:r>
        <w:t>VIII. Withdrawal</w:t>
      </w:r>
      <w:r>
        <w:rPr>
          <w:color w:val="000000"/>
        </w:rPr>
        <w:t xml:space="preserve"> </w:t>
      </w:r>
    </w:p>
    <w:p w14:paraId="794EDA13" w14:textId="63CD7AF7" w:rsidR="000A3ADC" w:rsidRDefault="00853592" w:rsidP="00853592">
      <w:pPr>
        <w:pStyle w:val="ListParagraph"/>
        <w:numPr>
          <w:ilvl w:val="0"/>
          <w:numId w:val="7"/>
        </w:numPr>
        <w:spacing w:after="5" w:line="271" w:lineRule="auto"/>
        <w:ind w:right="15"/>
        <w:jc w:val="both"/>
      </w:pPr>
      <w:r w:rsidRPr="00853592">
        <w:rPr>
          <w:rFonts w:ascii="Arial" w:eastAsia="Arial" w:hAnsi="Arial" w:cs="Arial"/>
          <w:sz w:val="20"/>
        </w:rPr>
        <w:t>Make clear the process for and implications of withd</w:t>
      </w:r>
      <w:r w:rsidRPr="00853592">
        <w:rPr>
          <w:rFonts w:ascii="Arial" w:eastAsia="Arial" w:hAnsi="Arial" w:cs="Arial"/>
          <w:sz w:val="20"/>
        </w:rPr>
        <w:t xml:space="preserve">rawing from the </w:t>
      </w:r>
      <w:r w:rsidRPr="00853592">
        <w:rPr>
          <w:rFonts w:ascii="Arial" w:eastAsia="Arial" w:hAnsi="Arial" w:cs="Arial"/>
        </w:rPr>
        <w:t xml:space="preserve">Marac </w:t>
      </w:r>
      <w:r w:rsidRPr="00853592">
        <w:rPr>
          <w:rFonts w:ascii="Arial" w:eastAsia="Arial" w:hAnsi="Arial" w:cs="Arial"/>
          <w:sz w:val="20"/>
        </w:rPr>
        <w:t xml:space="preserve">Information Sharing Protocol. </w:t>
      </w:r>
    </w:p>
    <w:p w14:paraId="6110FA8B" w14:textId="77777777" w:rsidR="000A3ADC" w:rsidRDefault="00853592">
      <w:pPr>
        <w:spacing w:after="0"/>
        <w:ind w:left="360"/>
      </w:pPr>
      <w:r>
        <w:rPr>
          <w:rFonts w:ascii="Arial" w:eastAsia="Arial" w:hAnsi="Arial" w:cs="Arial"/>
        </w:rPr>
        <w:t xml:space="preserve"> </w:t>
      </w:r>
    </w:p>
    <w:p w14:paraId="63689936" w14:textId="77777777" w:rsidR="000A3ADC" w:rsidRDefault="00853592">
      <w:pPr>
        <w:pStyle w:val="Heading1"/>
        <w:spacing w:after="91"/>
        <w:ind w:left="456"/>
      </w:pPr>
      <w:r>
        <w:t>IX. Signatories</w:t>
      </w:r>
      <w:r>
        <w:rPr>
          <w:color w:val="000000"/>
        </w:rPr>
        <w:t xml:space="preserve"> </w:t>
      </w:r>
    </w:p>
    <w:p w14:paraId="516A2140" w14:textId="4A26371F" w:rsidR="000A3ADC" w:rsidRDefault="00853592" w:rsidP="00853592">
      <w:pPr>
        <w:pStyle w:val="ListParagraph"/>
        <w:numPr>
          <w:ilvl w:val="0"/>
          <w:numId w:val="7"/>
        </w:numPr>
        <w:tabs>
          <w:tab w:val="center" w:pos="505"/>
          <w:tab w:val="center" w:pos="5100"/>
        </w:tabs>
        <w:spacing w:after="5" w:line="271" w:lineRule="auto"/>
      </w:pPr>
      <w:r w:rsidRPr="00853592">
        <w:rPr>
          <w:rFonts w:ascii="Arial" w:eastAsia="Arial" w:hAnsi="Arial" w:cs="Arial"/>
          <w:sz w:val="20"/>
        </w:rPr>
        <w:t xml:space="preserve">Provide space for agencies attending the </w:t>
      </w:r>
      <w:r w:rsidRPr="00853592">
        <w:rPr>
          <w:rFonts w:ascii="Arial" w:eastAsia="Arial" w:hAnsi="Arial" w:cs="Arial"/>
        </w:rPr>
        <w:t xml:space="preserve">Marac </w:t>
      </w:r>
      <w:r w:rsidRPr="00853592">
        <w:rPr>
          <w:rFonts w:ascii="Arial" w:eastAsia="Arial" w:hAnsi="Arial" w:cs="Arial"/>
          <w:sz w:val="20"/>
        </w:rPr>
        <w:t xml:space="preserve">to sign the </w:t>
      </w:r>
      <w:r w:rsidRPr="00853592">
        <w:rPr>
          <w:rFonts w:ascii="Arial" w:eastAsia="Arial" w:hAnsi="Arial" w:cs="Arial"/>
        </w:rPr>
        <w:t xml:space="preserve">Marac </w:t>
      </w:r>
      <w:r w:rsidRPr="00853592">
        <w:rPr>
          <w:rFonts w:ascii="Arial" w:eastAsia="Arial" w:hAnsi="Arial" w:cs="Arial"/>
          <w:sz w:val="20"/>
        </w:rPr>
        <w:t>Information Sharing Protocol,</w:t>
      </w:r>
      <w:r>
        <w:rPr>
          <w:rFonts w:ascii="Arial" w:eastAsia="Arial" w:hAnsi="Arial" w:cs="Arial"/>
          <w:sz w:val="20"/>
        </w:rPr>
        <w:t xml:space="preserve"> </w:t>
      </w:r>
      <w:r w:rsidRPr="00853592">
        <w:rPr>
          <w:rFonts w:ascii="Arial" w:eastAsia="Arial" w:hAnsi="Arial" w:cs="Arial"/>
          <w:sz w:val="20"/>
        </w:rPr>
        <w:t xml:space="preserve">specifying their name, the agency they represent, and the date of signature. </w:t>
      </w:r>
    </w:p>
    <w:p w14:paraId="6F8A8550" w14:textId="77777777" w:rsidR="000A3ADC" w:rsidRDefault="00853592">
      <w:pPr>
        <w:spacing w:after="0"/>
        <w:ind w:left="360"/>
        <w:rPr>
          <w:rFonts w:ascii="Arial" w:eastAsia="Arial" w:hAnsi="Arial" w:cs="Arial"/>
        </w:rPr>
      </w:pPr>
      <w:r>
        <w:rPr>
          <w:rFonts w:ascii="Arial" w:eastAsia="Arial" w:hAnsi="Arial" w:cs="Arial"/>
        </w:rPr>
        <w:t xml:space="preserve"> </w:t>
      </w:r>
    </w:p>
    <w:p w14:paraId="01EAF6C3" w14:textId="77777777" w:rsidR="00853592" w:rsidRDefault="00853592">
      <w:pPr>
        <w:spacing w:after="0"/>
        <w:ind w:left="360"/>
        <w:rPr>
          <w:rFonts w:ascii="Arial" w:eastAsia="Arial" w:hAnsi="Arial" w:cs="Arial"/>
        </w:rPr>
      </w:pPr>
    </w:p>
    <w:p w14:paraId="33F0C88F" w14:textId="77777777" w:rsidR="00853592" w:rsidRDefault="00853592">
      <w:pPr>
        <w:spacing w:after="0"/>
        <w:ind w:left="360"/>
        <w:rPr>
          <w:rFonts w:ascii="Arial" w:eastAsia="Arial" w:hAnsi="Arial" w:cs="Arial"/>
        </w:rPr>
      </w:pPr>
    </w:p>
    <w:p w14:paraId="5162241B" w14:textId="77777777" w:rsidR="00853592" w:rsidRDefault="00853592">
      <w:pPr>
        <w:spacing w:after="0"/>
        <w:ind w:left="360"/>
        <w:rPr>
          <w:rFonts w:ascii="Arial" w:eastAsia="Arial" w:hAnsi="Arial" w:cs="Arial"/>
        </w:rPr>
      </w:pPr>
    </w:p>
    <w:p w14:paraId="292E23E0" w14:textId="77777777" w:rsidR="00853592" w:rsidRDefault="00853592">
      <w:pPr>
        <w:spacing w:after="0"/>
        <w:ind w:left="360"/>
        <w:rPr>
          <w:rFonts w:ascii="Arial" w:eastAsia="Arial" w:hAnsi="Arial" w:cs="Arial"/>
        </w:rPr>
      </w:pPr>
    </w:p>
    <w:p w14:paraId="5D8050B5" w14:textId="77777777" w:rsidR="00853592" w:rsidRDefault="00853592">
      <w:pPr>
        <w:spacing w:after="0"/>
        <w:ind w:left="360"/>
        <w:rPr>
          <w:rFonts w:ascii="Arial" w:eastAsia="Arial" w:hAnsi="Arial" w:cs="Arial"/>
        </w:rPr>
      </w:pPr>
    </w:p>
    <w:p w14:paraId="3EE64170" w14:textId="77777777" w:rsidR="00853592" w:rsidRDefault="00853592">
      <w:pPr>
        <w:spacing w:after="0"/>
        <w:ind w:left="360"/>
        <w:rPr>
          <w:rFonts w:ascii="Arial" w:eastAsia="Arial" w:hAnsi="Arial" w:cs="Arial"/>
        </w:rPr>
      </w:pPr>
    </w:p>
    <w:p w14:paraId="3CC2182E" w14:textId="77777777" w:rsidR="00853592" w:rsidRDefault="00853592">
      <w:pPr>
        <w:spacing w:after="0"/>
        <w:ind w:left="360"/>
        <w:rPr>
          <w:rFonts w:ascii="Arial" w:eastAsia="Arial" w:hAnsi="Arial" w:cs="Arial"/>
        </w:rPr>
      </w:pPr>
    </w:p>
    <w:p w14:paraId="4462F624" w14:textId="77777777" w:rsidR="00853592" w:rsidRDefault="00853592">
      <w:pPr>
        <w:spacing w:after="0"/>
        <w:ind w:left="360"/>
      </w:pPr>
    </w:p>
    <w:p w14:paraId="302951F0" w14:textId="77777777" w:rsidR="000A3ADC" w:rsidRDefault="00853592">
      <w:pPr>
        <w:pStyle w:val="Heading1"/>
        <w:ind w:left="456"/>
      </w:pPr>
      <w:r>
        <w:t>Suggested appendices</w:t>
      </w:r>
      <w:r>
        <w:rPr>
          <w:color w:val="000000"/>
        </w:rPr>
        <w:t xml:space="preserve"> </w:t>
      </w:r>
    </w:p>
    <w:p w14:paraId="3C39320A" w14:textId="77777777" w:rsidR="000A3ADC" w:rsidRDefault="00853592">
      <w:pPr>
        <w:spacing w:after="5" w:line="271" w:lineRule="auto"/>
        <w:ind w:left="456" w:right="15" w:hanging="10"/>
        <w:jc w:val="both"/>
      </w:pPr>
      <w:r>
        <w:rPr>
          <w:rFonts w:ascii="Arial" w:eastAsia="Arial" w:hAnsi="Arial" w:cs="Arial"/>
          <w:sz w:val="20"/>
        </w:rPr>
        <w:t xml:space="preserve">You could also consider attaching the following to your Marac Information Sharing Protocol:  </w:t>
      </w:r>
    </w:p>
    <w:p w14:paraId="794178E7" w14:textId="77777777" w:rsidR="000A3ADC" w:rsidRDefault="00853592">
      <w:pPr>
        <w:spacing w:after="180"/>
        <w:ind w:left="360"/>
      </w:pPr>
      <w:r>
        <w:rPr>
          <w:rFonts w:ascii="Arial" w:eastAsia="Arial" w:hAnsi="Arial" w:cs="Arial"/>
          <w:sz w:val="14"/>
        </w:rPr>
        <w:t xml:space="preserve"> </w:t>
      </w:r>
    </w:p>
    <w:p w14:paraId="5FC83CDD" w14:textId="446E442B" w:rsidR="000A3ADC" w:rsidRDefault="00853592">
      <w:pPr>
        <w:numPr>
          <w:ilvl w:val="0"/>
          <w:numId w:val="6"/>
        </w:numPr>
        <w:spacing w:after="5" w:line="271" w:lineRule="auto"/>
        <w:ind w:right="15" w:hanging="360"/>
        <w:jc w:val="both"/>
      </w:pPr>
      <w:r>
        <w:rPr>
          <w:rFonts w:ascii="Arial" w:eastAsia="Arial" w:hAnsi="Arial" w:cs="Arial"/>
          <w:sz w:val="20"/>
        </w:rPr>
        <w:t xml:space="preserve">The recommended SafeLives </w:t>
      </w:r>
      <w:r>
        <w:rPr>
          <w:rFonts w:ascii="Arial" w:eastAsia="Arial" w:hAnsi="Arial" w:cs="Arial"/>
          <w:sz w:val="20"/>
        </w:rPr>
        <w:t>Dash</w:t>
      </w:r>
      <w:r>
        <w:rPr>
          <w:rFonts w:ascii="Arial" w:eastAsia="Arial" w:hAnsi="Arial" w:cs="Arial"/>
          <w:sz w:val="20"/>
        </w:rPr>
        <w:t xml:space="preserve"> Risk Identification Checklist (Ric</w:t>
      </w:r>
      <w:r>
        <w:rPr>
          <w:rFonts w:ascii="Arial" w:eastAsia="Arial" w:hAnsi="Arial" w:cs="Arial"/>
          <w:sz w:val="20"/>
        </w:rPr>
        <w:t xml:space="preserve">) for </w:t>
      </w:r>
      <w:r>
        <w:rPr>
          <w:rFonts w:ascii="Arial" w:eastAsia="Arial" w:hAnsi="Arial" w:cs="Arial"/>
        </w:rPr>
        <w:t xml:space="preserve">Marac </w:t>
      </w:r>
      <w:r>
        <w:rPr>
          <w:rFonts w:ascii="Arial" w:eastAsia="Arial" w:hAnsi="Arial" w:cs="Arial"/>
          <w:sz w:val="20"/>
        </w:rPr>
        <w:t xml:space="preserve">agencies </w:t>
      </w:r>
    </w:p>
    <w:p w14:paraId="1FD3C95F" w14:textId="77777777" w:rsidR="000A3ADC" w:rsidRDefault="00853592">
      <w:pPr>
        <w:numPr>
          <w:ilvl w:val="0"/>
          <w:numId w:val="6"/>
        </w:numPr>
        <w:spacing w:after="5" w:line="271" w:lineRule="auto"/>
        <w:ind w:right="15" w:hanging="360"/>
        <w:jc w:val="both"/>
      </w:pPr>
      <w:r>
        <w:rPr>
          <w:rFonts w:ascii="Arial" w:eastAsia="Arial" w:hAnsi="Arial" w:cs="Arial"/>
        </w:rPr>
        <w:t xml:space="preserve">Marac </w:t>
      </w:r>
      <w:r>
        <w:rPr>
          <w:rFonts w:ascii="Arial" w:eastAsia="Arial" w:hAnsi="Arial" w:cs="Arial"/>
          <w:sz w:val="20"/>
        </w:rPr>
        <w:t xml:space="preserve">Referral Form </w:t>
      </w:r>
    </w:p>
    <w:p w14:paraId="1AE1083F" w14:textId="77777777" w:rsidR="000A3ADC" w:rsidRDefault="00853592">
      <w:pPr>
        <w:numPr>
          <w:ilvl w:val="0"/>
          <w:numId w:val="6"/>
        </w:numPr>
        <w:spacing w:after="5" w:line="271" w:lineRule="auto"/>
        <w:ind w:right="15" w:hanging="360"/>
        <w:jc w:val="both"/>
      </w:pPr>
      <w:r>
        <w:rPr>
          <w:rFonts w:ascii="Arial" w:eastAsia="Arial" w:hAnsi="Arial" w:cs="Arial"/>
        </w:rPr>
        <w:t xml:space="preserve">Marac </w:t>
      </w:r>
      <w:r>
        <w:rPr>
          <w:rFonts w:ascii="Arial" w:eastAsia="Arial" w:hAnsi="Arial" w:cs="Arial"/>
          <w:sz w:val="20"/>
        </w:rPr>
        <w:t xml:space="preserve">Research Form </w:t>
      </w:r>
    </w:p>
    <w:p w14:paraId="46061E58" w14:textId="77777777" w:rsidR="000A3ADC" w:rsidRDefault="00853592">
      <w:pPr>
        <w:numPr>
          <w:ilvl w:val="0"/>
          <w:numId w:val="6"/>
        </w:numPr>
        <w:spacing w:after="5" w:line="271" w:lineRule="auto"/>
        <w:ind w:right="15" w:hanging="360"/>
        <w:jc w:val="both"/>
      </w:pPr>
      <w:r>
        <w:rPr>
          <w:rFonts w:ascii="Arial" w:eastAsia="Arial" w:hAnsi="Arial" w:cs="Arial"/>
          <w:sz w:val="20"/>
        </w:rPr>
        <w:t xml:space="preserve">An Information Sharing Without </w:t>
      </w:r>
      <w:r>
        <w:rPr>
          <w:rFonts w:ascii="Arial" w:eastAsia="Arial" w:hAnsi="Arial" w:cs="Arial"/>
          <w:sz w:val="20"/>
        </w:rPr>
        <w:t xml:space="preserve">Consent Form </w:t>
      </w:r>
    </w:p>
    <w:p w14:paraId="12265229" w14:textId="3F78932B" w:rsidR="000A3ADC" w:rsidRDefault="000A3ADC">
      <w:pPr>
        <w:tabs>
          <w:tab w:val="center" w:pos="5107"/>
          <w:tab w:val="right" w:pos="9648"/>
        </w:tabs>
        <w:spacing w:after="45"/>
        <w:ind w:right="-15"/>
      </w:pPr>
    </w:p>
    <w:sectPr w:rsidR="000A3ADC">
      <w:footerReference w:type="default" r:id="rId14"/>
      <w:pgSz w:w="11909" w:h="16841"/>
      <w:pgMar w:top="0" w:right="1360" w:bottom="548"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F0236" w14:textId="77777777" w:rsidR="00853592" w:rsidRDefault="00853592" w:rsidP="00853592">
      <w:pPr>
        <w:spacing w:after="0" w:line="240" w:lineRule="auto"/>
      </w:pPr>
      <w:r>
        <w:separator/>
      </w:r>
    </w:p>
  </w:endnote>
  <w:endnote w:type="continuationSeparator" w:id="0">
    <w:p w14:paraId="0AC57D4C" w14:textId="77777777" w:rsidR="00853592" w:rsidRDefault="00853592" w:rsidP="00853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845634"/>
      <w:docPartObj>
        <w:docPartGallery w:val="Page Numbers (Bottom of Page)"/>
        <w:docPartUnique/>
      </w:docPartObj>
    </w:sdtPr>
    <w:sdtEndPr>
      <w:rPr>
        <w:noProof/>
        <w:sz w:val="14"/>
        <w:szCs w:val="14"/>
      </w:rPr>
    </w:sdtEndPr>
    <w:sdtContent>
      <w:bookmarkStart w:id="0" w:name="_Hlk144377685" w:displacedByCustomXml="prev"/>
      <w:p w14:paraId="24B82919" w14:textId="77777777" w:rsidR="00853592" w:rsidRDefault="00853592">
        <w:pPr>
          <w:pStyle w:val="Footer"/>
          <w:jc w:val="right"/>
        </w:pPr>
      </w:p>
      <w:p w14:paraId="608F1F50" w14:textId="717B5D53" w:rsidR="00853592" w:rsidRPr="00853592" w:rsidRDefault="00853592">
        <w:pPr>
          <w:pStyle w:val="Footer"/>
          <w:jc w:val="right"/>
          <w:rPr>
            <w:sz w:val="14"/>
            <w:szCs w:val="14"/>
          </w:rPr>
        </w:pPr>
        <w:r w:rsidRPr="00853592">
          <w:rPr>
            <w:sz w:val="14"/>
            <w:szCs w:val="14"/>
          </w:rPr>
          <w:t>safelives.org.uk     info@safelives.org.uk     0117 403 3220</w:t>
        </w:r>
        <w:bookmarkEnd w:id="0"/>
        <w:r>
          <w:rPr>
            <w:sz w:val="14"/>
            <w:szCs w:val="14"/>
          </w:rPr>
          <w:t xml:space="preserve">                                                                                                                                                                                                     </w:t>
        </w:r>
        <w:r w:rsidRPr="00853592">
          <w:rPr>
            <w:sz w:val="14"/>
            <w:szCs w:val="14"/>
          </w:rPr>
          <w:fldChar w:fldCharType="begin"/>
        </w:r>
        <w:r w:rsidRPr="00853592">
          <w:rPr>
            <w:sz w:val="14"/>
            <w:szCs w:val="14"/>
          </w:rPr>
          <w:instrText xml:space="preserve"> PAGE   \* MERGEFORMAT </w:instrText>
        </w:r>
        <w:r w:rsidRPr="00853592">
          <w:rPr>
            <w:sz w:val="14"/>
            <w:szCs w:val="14"/>
          </w:rPr>
          <w:fldChar w:fldCharType="separate"/>
        </w:r>
        <w:r w:rsidRPr="00853592">
          <w:rPr>
            <w:noProof/>
            <w:sz w:val="14"/>
            <w:szCs w:val="14"/>
          </w:rPr>
          <w:t>2</w:t>
        </w:r>
        <w:r w:rsidRPr="00853592">
          <w:rPr>
            <w:noProof/>
            <w:sz w:val="14"/>
            <w:szCs w:val="14"/>
          </w:rPr>
          <w:fldChar w:fldCharType="end"/>
        </w:r>
      </w:p>
    </w:sdtContent>
  </w:sdt>
  <w:p w14:paraId="19E7831C" w14:textId="77777777" w:rsidR="00853592" w:rsidRDefault="00853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7E72E" w14:textId="77777777" w:rsidR="00853592" w:rsidRDefault="00853592" w:rsidP="00853592">
      <w:pPr>
        <w:spacing w:after="0" w:line="240" w:lineRule="auto"/>
      </w:pPr>
      <w:r>
        <w:separator/>
      </w:r>
    </w:p>
  </w:footnote>
  <w:footnote w:type="continuationSeparator" w:id="0">
    <w:p w14:paraId="2E66F1D3" w14:textId="77777777" w:rsidR="00853592" w:rsidRDefault="00853592" w:rsidP="00853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3528B"/>
    <w:multiLevelType w:val="hybridMultilevel"/>
    <w:tmpl w:val="C7689E20"/>
    <w:lvl w:ilvl="0" w:tplc="C7EC5170">
      <w:start w:val="6"/>
      <w:numFmt w:val="upperRoman"/>
      <w:lvlText w:val="%1."/>
      <w:lvlJc w:val="left"/>
      <w:pPr>
        <w:ind w:left="799"/>
      </w:pPr>
      <w:rPr>
        <w:rFonts w:ascii="Arial" w:eastAsia="Arial" w:hAnsi="Arial" w:cs="Arial"/>
        <w:b/>
        <w:bCs/>
        <w:i w:val="0"/>
        <w:strike w:val="0"/>
        <w:dstrike w:val="0"/>
        <w:color w:val="EF4E9E"/>
        <w:sz w:val="20"/>
        <w:szCs w:val="20"/>
        <w:u w:val="none" w:color="000000"/>
        <w:bdr w:val="none" w:sz="0" w:space="0" w:color="auto"/>
        <w:shd w:val="clear" w:color="auto" w:fill="auto"/>
        <w:vertAlign w:val="baseline"/>
      </w:rPr>
    </w:lvl>
    <w:lvl w:ilvl="1" w:tplc="CA1AE654">
      <w:start w:val="1"/>
      <w:numFmt w:val="lowerLetter"/>
      <w:lvlText w:val="%2"/>
      <w:lvlJc w:val="left"/>
      <w:pPr>
        <w:ind w:left="1181"/>
      </w:pPr>
      <w:rPr>
        <w:rFonts w:ascii="Arial" w:eastAsia="Arial" w:hAnsi="Arial" w:cs="Arial"/>
        <w:b/>
        <w:bCs/>
        <w:i w:val="0"/>
        <w:strike w:val="0"/>
        <w:dstrike w:val="0"/>
        <w:color w:val="EF4E9E"/>
        <w:sz w:val="20"/>
        <w:szCs w:val="20"/>
        <w:u w:val="none" w:color="000000"/>
        <w:bdr w:val="none" w:sz="0" w:space="0" w:color="auto"/>
        <w:shd w:val="clear" w:color="auto" w:fill="auto"/>
        <w:vertAlign w:val="baseline"/>
      </w:rPr>
    </w:lvl>
    <w:lvl w:ilvl="2" w:tplc="B402246A">
      <w:start w:val="1"/>
      <w:numFmt w:val="lowerRoman"/>
      <w:lvlText w:val="%3"/>
      <w:lvlJc w:val="left"/>
      <w:pPr>
        <w:ind w:left="1901"/>
      </w:pPr>
      <w:rPr>
        <w:rFonts w:ascii="Arial" w:eastAsia="Arial" w:hAnsi="Arial" w:cs="Arial"/>
        <w:b/>
        <w:bCs/>
        <w:i w:val="0"/>
        <w:strike w:val="0"/>
        <w:dstrike w:val="0"/>
        <w:color w:val="EF4E9E"/>
        <w:sz w:val="20"/>
        <w:szCs w:val="20"/>
        <w:u w:val="none" w:color="000000"/>
        <w:bdr w:val="none" w:sz="0" w:space="0" w:color="auto"/>
        <w:shd w:val="clear" w:color="auto" w:fill="auto"/>
        <w:vertAlign w:val="baseline"/>
      </w:rPr>
    </w:lvl>
    <w:lvl w:ilvl="3" w:tplc="40DCC52E">
      <w:start w:val="1"/>
      <w:numFmt w:val="decimal"/>
      <w:lvlText w:val="%4"/>
      <w:lvlJc w:val="left"/>
      <w:pPr>
        <w:ind w:left="2621"/>
      </w:pPr>
      <w:rPr>
        <w:rFonts w:ascii="Arial" w:eastAsia="Arial" w:hAnsi="Arial" w:cs="Arial"/>
        <w:b/>
        <w:bCs/>
        <w:i w:val="0"/>
        <w:strike w:val="0"/>
        <w:dstrike w:val="0"/>
        <w:color w:val="EF4E9E"/>
        <w:sz w:val="20"/>
        <w:szCs w:val="20"/>
        <w:u w:val="none" w:color="000000"/>
        <w:bdr w:val="none" w:sz="0" w:space="0" w:color="auto"/>
        <w:shd w:val="clear" w:color="auto" w:fill="auto"/>
        <w:vertAlign w:val="baseline"/>
      </w:rPr>
    </w:lvl>
    <w:lvl w:ilvl="4" w:tplc="1EAE5B6E">
      <w:start w:val="1"/>
      <w:numFmt w:val="lowerLetter"/>
      <w:lvlText w:val="%5"/>
      <w:lvlJc w:val="left"/>
      <w:pPr>
        <w:ind w:left="3341"/>
      </w:pPr>
      <w:rPr>
        <w:rFonts w:ascii="Arial" w:eastAsia="Arial" w:hAnsi="Arial" w:cs="Arial"/>
        <w:b/>
        <w:bCs/>
        <w:i w:val="0"/>
        <w:strike w:val="0"/>
        <w:dstrike w:val="0"/>
        <w:color w:val="EF4E9E"/>
        <w:sz w:val="20"/>
        <w:szCs w:val="20"/>
        <w:u w:val="none" w:color="000000"/>
        <w:bdr w:val="none" w:sz="0" w:space="0" w:color="auto"/>
        <w:shd w:val="clear" w:color="auto" w:fill="auto"/>
        <w:vertAlign w:val="baseline"/>
      </w:rPr>
    </w:lvl>
    <w:lvl w:ilvl="5" w:tplc="F5B48F16">
      <w:start w:val="1"/>
      <w:numFmt w:val="lowerRoman"/>
      <w:lvlText w:val="%6"/>
      <w:lvlJc w:val="left"/>
      <w:pPr>
        <w:ind w:left="4061"/>
      </w:pPr>
      <w:rPr>
        <w:rFonts w:ascii="Arial" w:eastAsia="Arial" w:hAnsi="Arial" w:cs="Arial"/>
        <w:b/>
        <w:bCs/>
        <w:i w:val="0"/>
        <w:strike w:val="0"/>
        <w:dstrike w:val="0"/>
        <w:color w:val="EF4E9E"/>
        <w:sz w:val="20"/>
        <w:szCs w:val="20"/>
        <w:u w:val="none" w:color="000000"/>
        <w:bdr w:val="none" w:sz="0" w:space="0" w:color="auto"/>
        <w:shd w:val="clear" w:color="auto" w:fill="auto"/>
        <w:vertAlign w:val="baseline"/>
      </w:rPr>
    </w:lvl>
    <w:lvl w:ilvl="6" w:tplc="B6903820">
      <w:start w:val="1"/>
      <w:numFmt w:val="decimal"/>
      <w:lvlText w:val="%7"/>
      <w:lvlJc w:val="left"/>
      <w:pPr>
        <w:ind w:left="4781"/>
      </w:pPr>
      <w:rPr>
        <w:rFonts w:ascii="Arial" w:eastAsia="Arial" w:hAnsi="Arial" w:cs="Arial"/>
        <w:b/>
        <w:bCs/>
        <w:i w:val="0"/>
        <w:strike w:val="0"/>
        <w:dstrike w:val="0"/>
        <w:color w:val="EF4E9E"/>
        <w:sz w:val="20"/>
        <w:szCs w:val="20"/>
        <w:u w:val="none" w:color="000000"/>
        <w:bdr w:val="none" w:sz="0" w:space="0" w:color="auto"/>
        <w:shd w:val="clear" w:color="auto" w:fill="auto"/>
        <w:vertAlign w:val="baseline"/>
      </w:rPr>
    </w:lvl>
    <w:lvl w:ilvl="7" w:tplc="91A4E20E">
      <w:start w:val="1"/>
      <w:numFmt w:val="lowerLetter"/>
      <w:lvlText w:val="%8"/>
      <w:lvlJc w:val="left"/>
      <w:pPr>
        <w:ind w:left="5501"/>
      </w:pPr>
      <w:rPr>
        <w:rFonts w:ascii="Arial" w:eastAsia="Arial" w:hAnsi="Arial" w:cs="Arial"/>
        <w:b/>
        <w:bCs/>
        <w:i w:val="0"/>
        <w:strike w:val="0"/>
        <w:dstrike w:val="0"/>
        <w:color w:val="EF4E9E"/>
        <w:sz w:val="20"/>
        <w:szCs w:val="20"/>
        <w:u w:val="none" w:color="000000"/>
        <w:bdr w:val="none" w:sz="0" w:space="0" w:color="auto"/>
        <w:shd w:val="clear" w:color="auto" w:fill="auto"/>
        <w:vertAlign w:val="baseline"/>
      </w:rPr>
    </w:lvl>
    <w:lvl w:ilvl="8" w:tplc="EF58B6E6">
      <w:start w:val="1"/>
      <w:numFmt w:val="lowerRoman"/>
      <w:lvlText w:val="%9"/>
      <w:lvlJc w:val="left"/>
      <w:pPr>
        <w:ind w:left="6221"/>
      </w:pPr>
      <w:rPr>
        <w:rFonts w:ascii="Arial" w:eastAsia="Arial" w:hAnsi="Arial" w:cs="Arial"/>
        <w:b/>
        <w:bCs/>
        <w:i w:val="0"/>
        <w:strike w:val="0"/>
        <w:dstrike w:val="0"/>
        <w:color w:val="EF4E9E"/>
        <w:sz w:val="20"/>
        <w:szCs w:val="20"/>
        <w:u w:val="none" w:color="000000"/>
        <w:bdr w:val="none" w:sz="0" w:space="0" w:color="auto"/>
        <w:shd w:val="clear" w:color="auto" w:fill="auto"/>
        <w:vertAlign w:val="baseline"/>
      </w:rPr>
    </w:lvl>
  </w:abstractNum>
  <w:abstractNum w:abstractNumId="1" w15:restartNumberingAfterBreak="0">
    <w:nsid w:val="269F5C4B"/>
    <w:multiLevelType w:val="hybridMultilevel"/>
    <w:tmpl w:val="DA2EB4DA"/>
    <w:lvl w:ilvl="0" w:tplc="A19A406E">
      <w:start w:val="1"/>
      <w:numFmt w:val="bullet"/>
      <w:lvlText w:val="•"/>
      <w:lvlJc w:val="left"/>
      <w:pPr>
        <w:ind w:left="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C465B4">
      <w:start w:val="1"/>
      <w:numFmt w:val="bullet"/>
      <w:lvlText w:val="o"/>
      <w:lvlJc w:val="left"/>
      <w:pPr>
        <w:ind w:left="11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14FA3B3C">
      <w:start w:val="1"/>
      <w:numFmt w:val="bullet"/>
      <w:lvlText w:val="▪"/>
      <w:lvlJc w:val="left"/>
      <w:pPr>
        <w:ind w:left="154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F4CD582">
      <w:start w:val="1"/>
      <w:numFmt w:val="bullet"/>
      <w:lvlText w:val="•"/>
      <w:lvlJc w:val="left"/>
      <w:pPr>
        <w:ind w:left="22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51AFB4A">
      <w:start w:val="1"/>
      <w:numFmt w:val="bullet"/>
      <w:lvlText w:val="o"/>
      <w:lvlJc w:val="left"/>
      <w:pPr>
        <w:ind w:left="29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9DC2B48">
      <w:start w:val="1"/>
      <w:numFmt w:val="bullet"/>
      <w:lvlText w:val="▪"/>
      <w:lvlJc w:val="left"/>
      <w:pPr>
        <w:ind w:left="37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0AEC1F8">
      <w:start w:val="1"/>
      <w:numFmt w:val="bullet"/>
      <w:lvlText w:val="•"/>
      <w:lvlJc w:val="left"/>
      <w:pPr>
        <w:ind w:left="44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E8FCCC3C">
      <w:start w:val="1"/>
      <w:numFmt w:val="bullet"/>
      <w:lvlText w:val="o"/>
      <w:lvlJc w:val="left"/>
      <w:pPr>
        <w:ind w:left="514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E34465E">
      <w:start w:val="1"/>
      <w:numFmt w:val="bullet"/>
      <w:lvlText w:val="▪"/>
      <w:lvlJc w:val="left"/>
      <w:pPr>
        <w:ind w:left="58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BE0654"/>
    <w:multiLevelType w:val="hybridMultilevel"/>
    <w:tmpl w:val="CCCA146A"/>
    <w:lvl w:ilvl="0" w:tplc="83F0FAE8">
      <w:start w:val="1"/>
      <w:numFmt w:val="bullet"/>
      <w:lvlText w:val="•"/>
      <w:lvlJc w:val="left"/>
      <w:pPr>
        <w:ind w:left="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44B794">
      <w:start w:val="1"/>
      <w:numFmt w:val="bullet"/>
      <w:lvlText w:val="o"/>
      <w:lvlJc w:val="left"/>
      <w:pPr>
        <w:ind w:left="1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628716">
      <w:start w:val="1"/>
      <w:numFmt w:val="bullet"/>
      <w:lvlText w:val="▪"/>
      <w:lvlJc w:val="left"/>
      <w:pPr>
        <w:ind w:left="1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E45E3E">
      <w:start w:val="1"/>
      <w:numFmt w:val="bullet"/>
      <w:lvlText w:val="•"/>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38A088">
      <w:start w:val="1"/>
      <w:numFmt w:val="bullet"/>
      <w:lvlText w:val="o"/>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D67030">
      <w:start w:val="1"/>
      <w:numFmt w:val="bullet"/>
      <w:lvlText w:val="▪"/>
      <w:lvlJc w:val="left"/>
      <w:pPr>
        <w:ind w:left="4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0EE68C">
      <w:start w:val="1"/>
      <w:numFmt w:val="bullet"/>
      <w:lvlText w:val="•"/>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02E5AC">
      <w:start w:val="1"/>
      <w:numFmt w:val="bullet"/>
      <w:lvlText w:val="o"/>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9692F2">
      <w:start w:val="1"/>
      <w:numFmt w:val="bullet"/>
      <w:lvlText w:val="▪"/>
      <w:lvlJc w:val="left"/>
      <w:pPr>
        <w:ind w:left="6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70C4FB1"/>
    <w:multiLevelType w:val="hybridMultilevel"/>
    <w:tmpl w:val="FACE568E"/>
    <w:lvl w:ilvl="0" w:tplc="07CEA80C">
      <w:start w:val="1"/>
      <w:numFmt w:val="bullet"/>
      <w:lvlText w:val="•"/>
      <w:lvlJc w:val="left"/>
      <w:pPr>
        <w:ind w:left="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A07ED0">
      <w:start w:val="1"/>
      <w:numFmt w:val="bullet"/>
      <w:lvlText w:val="o"/>
      <w:lvlJc w:val="left"/>
      <w:pPr>
        <w:ind w:left="11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32AFF4C">
      <w:start w:val="1"/>
      <w:numFmt w:val="bullet"/>
      <w:lvlText w:val="▪"/>
      <w:lvlJc w:val="left"/>
      <w:pPr>
        <w:ind w:left="19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7F4966C">
      <w:start w:val="1"/>
      <w:numFmt w:val="bullet"/>
      <w:lvlText w:val="•"/>
      <w:lvlJc w:val="left"/>
      <w:pPr>
        <w:ind w:left="26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3A2047A">
      <w:start w:val="1"/>
      <w:numFmt w:val="bullet"/>
      <w:lvlText w:val="o"/>
      <w:lvlJc w:val="left"/>
      <w:pPr>
        <w:ind w:left="334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E06712A">
      <w:start w:val="1"/>
      <w:numFmt w:val="bullet"/>
      <w:lvlText w:val="▪"/>
      <w:lvlJc w:val="left"/>
      <w:pPr>
        <w:ind w:left="40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85C66AE">
      <w:start w:val="1"/>
      <w:numFmt w:val="bullet"/>
      <w:lvlText w:val="•"/>
      <w:lvlJc w:val="left"/>
      <w:pPr>
        <w:ind w:left="47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A929CEC">
      <w:start w:val="1"/>
      <w:numFmt w:val="bullet"/>
      <w:lvlText w:val="o"/>
      <w:lvlJc w:val="left"/>
      <w:pPr>
        <w:ind w:left="55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B902FBC">
      <w:start w:val="1"/>
      <w:numFmt w:val="bullet"/>
      <w:lvlText w:val="▪"/>
      <w:lvlJc w:val="left"/>
      <w:pPr>
        <w:ind w:left="62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FE12599"/>
    <w:multiLevelType w:val="hybridMultilevel"/>
    <w:tmpl w:val="4EE89526"/>
    <w:lvl w:ilvl="0" w:tplc="739A5450">
      <w:start w:val="1"/>
      <w:numFmt w:val="bullet"/>
      <w:lvlText w:val="•"/>
      <w:lvlJc w:val="left"/>
      <w:pPr>
        <w:ind w:left="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D0ABBC">
      <w:start w:val="1"/>
      <w:numFmt w:val="bullet"/>
      <w:lvlText w:val="o"/>
      <w:lvlJc w:val="left"/>
      <w:pPr>
        <w:ind w:left="1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CFA0AD4">
      <w:start w:val="1"/>
      <w:numFmt w:val="bullet"/>
      <w:lvlText w:val="▪"/>
      <w:lvlJc w:val="left"/>
      <w:pPr>
        <w:ind w:left="1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148AC8">
      <w:start w:val="1"/>
      <w:numFmt w:val="bullet"/>
      <w:lvlText w:val="•"/>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38C3C2">
      <w:start w:val="1"/>
      <w:numFmt w:val="bullet"/>
      <w:lvlText w:val="o"/>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6443506">
      <w:start w:val="1"/>
      <w:numFmt w:val="bullet"/>
      <w:lvlText w:val="▪"/>
      <w:lvlJc w:val="left"/>
      <w:pPr>
        <w:ind w:left="4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7EBC0E">
      <w:start w:val="1"/>
      <w:numFmt w:val="bullet"/>
      <w:lvlText w:val="•"/>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401522">
      <w:start w:val="1"/>
      <w:numFmt w:val="bullet"/>
      <w:lvlText w:val="o"/>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AEC550">
      <w:start w:val="1"/>
      <w:numFmt w:val="bullet"/>
      <w:lvlText w:val="▪"/>
      <w:lvlJc w:val="left"/>
      <w:pPr>
        <w:ind w:left="6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6C13E60"/>
    <w:multiLevelType w:val="hybridMultilevel"/>
    <w:tmpl w:val="65EA57B6"/>
    <w:lvl w:ilvl="0" w:tplc="6BE21600">
      <w:start w:val="1"/>
      <w:numFmt w:val="bullet"/>
      <w:lvlText w:val="•"/>
      <w:lvlJc w:val="left"/>
      <w:pPr>
        <w:ind w:left="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A8C6DC">
      <w:start w:val="1"/>
      <w:numFmt w:val="bullet"/>
      <w:lvlText w:val="o"/>
      <w:lvlJc w:val="left"/>
      <w:pPr>
        <w:ind w:left="1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D6D176">
      <w:start w:val="1"/>
      <w:numFmt w:val="bullet"/>
      <w:lvlText w:val="▪"/>
      <w:lvlJc w:val="left"/>
      <w:pPr>
        <w:ind w:left="1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8E1FD4">
      <w:start w:val="1"/>
      <w:numFmt w:val="bullet"/>
      <w:lvlText w:val="•"/>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844EC8">
      <w:start w:val="1"/>
      <w:numFmt w:val="bullet"/>
      <w:lvlText w:val="o"/>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5A07CEE">
      <w:start w:val="1"/>
      <w:numFmt w:val="bullet"/>
      <w:lvlText w:val="▪"/>
      <w:lvlJc w:val="left"/>
      <w:pPr>
        <w:ind w:left="4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EE0DA6">
      <w:start w:val="1"/>
      <w:numFmt w:val="bullet"/>
      <w:lvlText w:val="•"/>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1642E2">
      <w:start w:val="1"/>
      <w:numFmt w:val="bullet"/>
      <w:lvlText w:val="o"/>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DC406E0">
      <w:start w:val="1"/>
      <w:numFmt w:val="bullet"/>
      <w:lvlText w:val="▪"/>
      <w:lvlJc w:val="left"/>
      <w:pPr>
        <w:ind w:left="6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E9105C4"/>
    <w:multiLevelType w:val="hybridMultilevel"/>
    <w:tmpl w:val="5D5AC850"/>
    <w:lvl w:ilvl="0" w:tplc="3C2A7B7C">
      <w:start w:val="1"/>
      <w:numFmt w:val="bullet"/>
      <w:lvlText w:val="•"/>
      <w:lvlJc w:val="left"/>
      <w:pPr>
        <w:ind w:left="81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num w:numId="1" w16cid:durableId="1795249709">
    <w:abstractNumId w:val="3"/>
  </w:num>
  <w:num w:numId="2" w16cid:durableId="1587375703">
    <w:abstractNumId w:val="1"/>
  </w:num>
  <w:num w:numId="3" w16cid:durableId="1208369328">
    <w:abstractNumId w:val="4"/>
  </w:num>
  <w:num w:numId="4" w16cid:durableId="1865174283">
    <w:abstractNumId w:val="5"/>
  </w:num>
  <w:num w:numId="5" w16cid:durableId="146174088">
    <w:abstractNumId w:val="0"/>
  </w:num>
  <w:num w:numId="6" w16cid:durableId="1697386565">
    <w:abstractNumId w:val="2"/>
  </w:num>
  <w:num w:numId="7" w16cid:durableId="11025360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ADC"/>
    <w:rsid w:val="000A3ADC"/>
    <w:rsid w:val="00853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9DC45"/>
  <w15:docId w15:val="{71D7F209-9029-4692-A542-73563D83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5"/>
      <w:ind w:left="471" w:hanging="10"/>
      <w:outlineLvl w:val="0"/>
    </w:pPr>
    <w:rPr>
      <w:rFonts w:ascii="Arial" w:eastAsia="Arial" w:hAnsi="Arial" w:cs="Arial"/>
      <w:b/>
      <w:color w:val="EF4E9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EF4E9E"/>
      <w:sz w:val="20"/>
    </w:rPr>
  </w:style>
  <w:style w:type="paragraph" w:styleId="Header">
    <w:name w:val="header"/>
    <w:basedOn w:val="Normal"/>
    <w:link w:val="HeaderChar"/>
    <w:uiPriority w:val="99"/>
    <w:unhideWhenUsed/>
    <w:rsid w:val="00853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592"/>
    <w:rPr>
      <w:rFonts w:ascii="Calibri" w:eastAsia="Calibri" w:hAnsi="Calibri" w:cs="Calibri"/>
      <w:color w:val="000000"/>
    </w:rPr>
  </w:style>
  <w:style w:type="paragraph" w:styleId="Footer">
    <w:name w:val="footer"/>
    <w:basedOn w:val="Normal"/>
    <w:link w:val="FooterChar"/>
    <w:uiPriority w:val="99"/>
    <w:unhideWhenUsed/>
    <w:rsid w:val="00853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592"/>
    <w:rPr>
      <w:rFonts w:ascii="Calibri" w:eastAsia="Calibri" w:hAnsi="Calibri" w:cs="Calibri"/>
      <w:color w:val="000000"/>
    </w:rPr>
  </w:style>
  <w:style w:type="paragraph" w:styleId="ListParagraph">
    <w:name w:val="List Paragraph"/>
    <w:basedOn w:val="Normal"/>
    <w:uiPriority w:val="34"/>
    <w:qFormat/>
    <w:rsid w:val="00853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0.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0.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1C79EE7B1C3242A3A2B403BEC1BCA6" ma:contentTypeVersion="21" ma:contentTypeDescription="Create a new document." ma:contentTypeScope="" ma:versionID="6a39b0bf1702208ec56930e5654af9a1">
  <xsd:schema xmlns:xsd="http://www.w3.org/2001/XMLSchema" xmlns:xs="http://www.w3.org/2001/XMLSchema" xmlns:p="http://schemas.microsoft.com/office/2006/metadata/properties" xmlns:ns2="d78d86f6-d97f-436f-aee9-f83c1db7e7cd" xmlns:ns3="8b217fab-fd35-4f19-ab71-0cf3cea10cfd" xmlns:ns4="5b90e1ec-c53d-4294-9e20-10a8e029cbc4" targetNamespace="http://schemas.microsoft.com/office/2006/metadata/properties" ma:root="true" ma:fieldsID="9b88fd97a17c7b2f64cad83715efeaef" ns2:_="" ns3:_="" ns4:_="">
    <xsd:import namespace="d78d86f6-d97f-436f-aee9-f83c1db7e7cd"/>
    <xsd:import namespace="8b217fab-fd35-4f19-ab71-0cf3cea10cfd"/>
    <xsd:import namespace="5b90e1ec-c53d-4294-9e20-10a8e029cbc4"/>
    <xsd:element name="properties">
      <xsd:complexType>
        <xsd:sequence>
          <xsd:element name="documentManagement">
            <xsd:complexType>
              <xsd:all>
                <xsd:element ref="ns2:SharedWithUsers" minOccurs="0"/>
                <xsd:element ref="ns3: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OCR" minOccurs="0"/>
                <xsd:element ref="ns4:MediaServiceDateTaken" minOccurs="0"/>
                <xsd:element ref="ns4:MediaServiceLocation" minOccurs="0"/>
                <xsd:element ref="ns4:MediaServiceAutoKeyPoints" minOccurs="0"/>
                <xsd:element ref="ns4:MediaServiceKeyPoints" minOccurs="0"/>
                <xsd:element ref="ns4:Details" minOccurs="0"/>
                <xsd:element ref="ns4:MediaLengthInSeconds" minOccurs="0"/>
                <xsd:element ref="ns4:lcf76f155ced4ddcb4097134ff3c332f" minOccurs="0"/>
                <xsd:element ref="ns3: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86f6-d97f-436f-aee9-f83c1db7e7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217fab-fd35-4f19-ab71-0cf3cea10cfd"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bef0a5fd-9379-47bd-ae52-38f34a492267}" ma:internalName="TaxCatchAll" ma:showField="CatchAllData" ma:web="8b217fab-fd35-4f19-ab71-0cf3cea10c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90e1ec-c53d-4294-9e20-10a8e029cbc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tails" ma:index="23" nillable="true" ma:displayName="Details" ma:format="Dropdown" ma:internalName="Details">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f29edd6-a3e2-4ccc-8da5-3950f5df66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ails xmlns="5b90e1ec-c53d-4294-9e20-10a8e029cbc4" xsi:nil="true"/>
    <lcf76f155ced4ddcb4097134ff3c332f xmlns="5b90e1ec-c53d-4294-9e20-10a8e029cbc4">
      <Terms xmlns="http://schemas.microsoft.com/office/infopath/2007/PartnerControls"/>
    </lcf76f155ced4ddcb4097134ff3c332f>
    <TaxCatchAll xmlns="8b217fab-fd35-4f19-ab71-0cf3cea10cfd"/>
  </documentManagement>
</p:properties>
</file>

<file path=customXml/itemProps1.xml><?xml version="1.0" encoding="utf-8"?>
<ds:datastoreItem xmlns:ds="http://schemas.openxmlformats.org/officeDocument/2006/customXml" ds:itemID="{E3C3E57C-1D16-4DCA-B94E-19BDA6496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86f6-d97f-436f-aee9-f83c1db7e7cd"/>
    <ds:schemaRef ds:uri="8b217fab-fd35-4f19-ab71-0cf3cea10cfd"/>
    <ds:schemaRef ds:uri="5b90e1ec-c53d-4294-9e20-10a8e029c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AE1F61-7024-4DC9-A45E-7AD38BB31E72}">
  <ds:schemaRefs>
    <ds:schemaRef ds:uri="http://schemas.microsoft.com/sharepoint/v3/contenttype/forms"/>
  </ds:schemaRefs>
</ds:datastoreItem>
</file>

<file path=customXml/itemProps3.xml><?xml version="1.0" encoding="utf-8"?>
<ds:datastoreItem xmlns:ds="http://schemas.openxmlformats.org/officeDocument/2006/customXml" ds:itemID="{495689CC-8B56-4F90-BAE0-4B55DB6AAF86}">
  <ds:schemaRefs>
    <ds:schemaRef ds:uri="http://schemas.microsoft.com/office/2006/documentManagement/types"/>
    <ds:schemaRef ds:uri="http://purl.org/dc/terms/"/>
    <ds:schemaRef ds:uri="http://www.w3.org/XML/1998/namespace"/>
    <ds:schemaRef ds:uri="http://purl.org/dc/elements/1.1/"/>
    <ds:schemaRef ds:uri="8b217fab-fd35-4f19-ab71-0cf3cea10cfd"/>
    <ds:schemaRef ds:uri="d78d86f6-d97f-436f-aee9-f83c1db7e7cd"/>
    <ds:schemaRef ds:uri="http://schemas.openxmlformats.org/package/2006/metadata/core-properties"/>
    <ds:schemaRef ds:uri="http://schemas.microsoft.com/office/2006/metadata/properties"/>
    <ds:schemaRef ds:uri="http://purl.org/dc/dcmitype/"/>
    <ds:schemaRef ds:uri="http://schemas.microsoft.com/office/infopath/2007/PartnerControls"/>
    <ds:schemaRef ds:uri="5b90e1ec-c53d-4294-9e20-10a8e029cbc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4791</Characters>
  <Application>Microsoft Office Word</Application>
  <DocSecurity>0</DocSecurity>
  <Lines>39</Lines>
  <Paragraphs>11</Paragraphs>
  <ScaleCrop>false</ScaleCrop>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Rodgers</dc:creator>
  <cp:keywords/>
  <cp:lastModifiedBy>Sarah McCalla</cp:lastModifiedBy>
  <cp:revision>2</cp:revision>
  <dcterms:created xsi:type="dcterms:W3CDTF">2023-08-31T20:23:00Z</dcterms:created>
  <dcterms:modified xsi:type="dcterms:W3CDTF">2023-08-31T20:23:00Z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0x010100761C79EE7B1C3242A3A2B403BEC1BCA6</vt:lpwstr>
  </property>
</Properties>
</file>